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F0F" w:rsidRPr="008A5F0F" w:rsidRDefault="008A5F0F" w:rsidP="008A5F0F">
      <w:pPr>
        <w:shd w:val="clear" w:color="auto" w:fill="FFFFFF"/>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Bảng 2.22: Khoảng cách an toàn về môi trường (ATMT)</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9"/>
        <w:gridCol w:w="4014"/>
        <w:gridCol w:w="1132"/>
        <w:gridCol w:w="1169"/>
        <w:gridCol w:w="1317"/>
        <w:gridCol w:w="1367"/>
      </w:tblGrid>
      <w:tr w:rsidR="008A5F0F" w:rsidRPr="008A5F0F" w:rsidTr="008A5F0F">
        <w:trPr>
          <w:trHeight w:val="375"/>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b/>
                <w:bCs/>
                <w:color w:val="333333"/>
                <w:sz w:val="28"/>
                <w:szCs w:val="28"/>
              </w:rPr>
              <w:t>TT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b/>
                <w:bCs/>
                <w:color w:val="333333"/>
                <w:sz w:val="28"/>
                <w:szCs w:val="28"/>
              </w:rPr>
              <w:t>Loại công trình</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b/>
                <w:bCs/>
                <w:color w:val="333333"/>
                <w:sz w:val="28"/>
                <w:szCs w:val="28"/>
              </w:rPr>
              <w:t>Khoảng cách ATMT tối thiểu (m) ứng với công suất</w:t>
            </w:r>
          </w:p>
        </w:tc>
      </w:tr>
      <w:tr w:rsidR="008A5F0F" w:rsidRPr="008A5F0F" w:rsidTr="008A5F0F">
        <w:trPr>
          <w:trHeight w:val="85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0" w:line="240" w:lineRule="auto"/>
              <w:jc w:val="left"/>
              <w:rPr>
                <w:rFonts w:eastAsia="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0" w:line="240" w:lineRule="auto"/>
              <w:jc w:val="left"/>
              <w:rPr>
                <w:rFonts w:eastAsia="Times New Roman" w:cs="Times New Roman"/>
                <w:color w:val="333333"/>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&lt; 200</w:t>
            </w:r>
          </w:p>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(m</w:t>
            </w:r>
            <w:r w:rsidRPr="008A5F0F">
              <w:rPr>
                <w:rFonts w:eastAsia="Times New Roman" w:cs="Times New Roman"/>
                <w:color w:val="333333"/>
                <w:sz w:val="28"/>
                <w:szCs w:val="28"/>
                <w:vertAlign w:val="superscript"/>
              </w:rPr>
              <w:t>3</w:t>
            </w:r>
            <w:r w:rsidRPr="008A5F0F">
              <w:rPr>
                <w:rFonts w:eastAsia="Times New Roman" w:cs="Times New Roman"/>
                <w:color w:val="333333"/>
                <w:sz w:val="28"/>
                <w:szCs w:val="28"/>
              </w:rPr>
              <w:t>/ngày)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200 - 5 000</w:t>
            </w:r>
          </w:p>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(m</w:t>
            </w:r>
            <w:r w:rsidRPr="008A5F0F">
              <w:rPr>
                <w:rFonts w:eastAsia="Times New Roman" w:cs="Times New Roman"/>
                <w:color w:val="333333"/>
                <w:sz w:val="28"/>
                <w:szCs w:val="28"/>
                <w:vertAlign w:val="superscript"/>
              </w:rPr>
              <w:t>3</w:t>
            </w:r>
            <w:r w:rsidRPr="008A5F0F">
              <w:rPr>
                <w:rFonts w:eastAsia="Times New Roman" w:cs="Times New Roman"/>
                <w:color w:val="333333"/>
                <w:sz w:val="28"/>
                <w:szCs w:val="28"/>
              </w:rPr>
              <w:t>/ngày)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&gt; 5 000 -</w:t>
            </w:r>
            <w:r w:rsidRPr="008A5F0F">
              <w:rPr>
                <w:rFonts w:eastAsia="Times New Roman" w:cs="Times New Roman"/>
                <w:color w:val="333333"/>
                <w:sz w:val="28"/>
                <w:szCs w:val="28"/>
              </w:rPr>
              <w:br/>
              <w:t>50 000 (m</w:t>
            </w:r>
            <w:r w:rsidRPr="008A5F0F">
              <w:rPr>
                <w:rFonts w:eastAsia="Times New Roman" w:cs="Times New Roman"/>
                <w:color w:val="333333"/>
                <w:sz w:val="28"/>
                <w:szCs w:val="28"/>
                <w:vertAlign w:val="superscript"/>
              </w:rPr>
              <w:t>3</w:t>
            </w:r>
            <w:r w:rsidRPr="008A5F0F">
              <w:rPr>
                <w:rFonts w:eastAsia="Times New Roman" w:cs="Times New Roman"/>
                <w:color w:val="333333"/>
                <w:sz w:val="28"/>
                <w:szCs w:val="28"/>
              </w:rPr>
              <w:t>/ngày)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&gt; 50 000 (m</w:t>
            </w:r>
            <w:r w:rsidRPr="008A5F0F">
              <w:rPr>
                <w:rFonts w:eastAsia="Times New Roman" w:cs="Times New Roman"/>
                <w:color w:val="333333"/>
                <w:sz w:val="28"/>
                <w:szCs w:val="28"/>
                <w:vertAlign w:val="superscript"/>
              </w:rPr>
              <w:t>3</w:t>
            </w:r>
            <w:r w:rsidRPr="008A5F0F">
              <w:rPr>
                <w:rFonts w:eastAsia="Times New Roman" w:cs="Times New Roman"/>
                <w:color w:val="333333"/>
                <w:sz w:val="28"/>
                <w:szCs w:val="28"/>
              </w:rPr>
              <w:t>/ngày)</w:t>
            </w:r>
          </w:p>
        </w:tc>
      </w:tr>
      <w:tr w:rsidR="008A5F0F" w:rsidRPr="008A5F0F" w:rsidTr="008A5F0F">
        <w:trPr>
          <w:trHeight w:val="3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left"/>
              <w:rPr>
                <w:rFonts w:eastAsia="Times New Roman" w:cs="Times New Roman"/>
                <w:color w:val="333333"/>
                <w:sz w:val="28"/>
                <w:szCs w:val="28"/>
              </w:rPr>
            </w:pPr>
            <w:r w:rsidRPr="008A5F0F">
              <w:rPr>
                <w:rFonts w:eastAsia="Times New Roman" w:cs="Times New Roman"/>
                <w:color w:val="333333"/>
                <w:sz w:val="28"/>
                <w:szCs w:val="28"/>
              </w:rPr>
              <w:t>Trạm bơm nước thải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30</w:t>
            </w:r>
          </w:p>
        </w:tc>
      </w:tr>
      <w:tr w:rsidR="008A5F0F" w:rsidRPr="008A5F0F" w:rsidTr="008A5F0F">
        <w:trPr>
          <w:trHeight w:val="3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left"/>
              <w:rPr>
                <w:rFonts w:eastAsia="Times New Roman" w:cs="Times New Roman"/>
                <w:color w:val="333333"/>
                <w:sz w:val="28"/>
                <w:szCs w:val="28"/>
              </w:rPr>
            </w:pPr>
            <w:r w:rsidRPr="008A5F0F">
              <w:rPr>
                <w:rFonts w:eastAsia="Times New Roman" w:cs="Times New Roman"/>
                <w:color w:val="333333"/>
                <w:sz w:val="28"/>
                <w:szCs w:val="28"/>
              </w:rPr>
              <w:t>Nhà máy, trạm XLNT: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 </w:t>
            </w:r>
          </w:p>
        </w:tc>
      </w:tr>
      <w:tr w:rsidR="008A5F0F" w:rsidRPr="008A5F0F" w:rsidTr="008A5F0F">
        <w:trPr>
          <w:trHeight w:val="58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left"/>
              <w:rPr>
                <w:rFonts w:eastAsia="Times New Roman" w:cs="Times New Roman"/>
                <w:color w:val="333333"/>
                <w:sz w:val="28"/>
                <w:szCs w:val="28"/>
              </w:rPr>
            </w:pPr>
            <w:r w:rsidRPr="008A5F0F">
              <w:rPr>
                <w:rFonts w:eastAsia="Times New Roman" w:cs="Times New Roman"/>
                <w:color w:val="333333"/>
                <w:sz w:val="28"/>
                <w:szCs w:val="28"/>
              </w:rPr>
              <w:t>Công trình xử lý bùn cặn kiểu sân phơi bùn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150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500</w:t>
            </w:r>
          </w:p>
        </w:tc>
      </w:tr>
      <w:tr w:rsidR="008A5F0F" w:rsidRPr="008A5F0F" w:rsidTr="008A5F0F">
        <w:trPr>
          <w:trHeight w:val="58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left"/>
              <w:rPr>
                <w:rFonts w:eastAsia="Times New Roman" w:cs="Times New Roman"/>
                <w:color w:val="333333"/>
                <w:sz w:val="28"/>
                <w:szCs w:val="28"/>
              </w:rPr>
            </w:pPr>
            <w:r w:rsidRPr="008A5F0F">
              <w:rPr>
                <w:rFonts w:eastAsia="Times New Roman" w:cs="Times New Roman"/>
                <w:color w:val="333333"/>
                <w:sz w:val="28"/>
                <w:szCs w:val="28"/>
              </w:rPr>
              <w:t>Công trình xử lý bùn cặn bằng thiết bị cơ khí.</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150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400</w:t>
            </w:r>
          </w:p>
        </w:tc>
      </w:tr>
      <w:tr w:rsidR="008A5F0F" w:rsidRPr="008A5F0F" w:rsidTr="008A5F0F">
        <w:trPr>
          <w:trHeight w:val="8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left"/>
              <w:rPr>
                <w:rFonts w:eastAsia="Times New Roman" w:cs="Times New Roman"/>
                <w:color w:val="333333"/>
                <w:sz w:val="28"/>
                <w:szCs w:val="28"/>
              </w:rPr>
            </w:pPr>
            <w:r w:rsidRPr="008A5F0F">
              <w:rPr>
                <w:rFonts w:eastAsia="Times New Roman" w:cs="Times New Roman"/>
                <w:color w:val="333333"/>
                <w:sz w:val="28"/>
                <w:szCs w:val="28"/>
              </w:rPr>
              <w:t>Công trình xử lý nước thải bằng phương pháp cơ học, hóa lý và sinh học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250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350</w:t>
            </w:r>
          </w:p>
        </w:tc>
      </w:tr>
      <w:tr w:rsidR="008A5F0F" w:rsidRPr="008A5F0F" w:rsidTr="008A5F0F">
        <w:trPr>
          <w:trHeight w:val="12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left"/>
              <w:rPr>
                <w:rFonts w:eastAsia="Times New Roman" w:cs="Times New Roman"/>
                <w:color w:val="333333"/>
                <w:sz w:val="28"/>
                <w:szCs w:val="28"/>
              </w:rPr>
            </w:pPr>
            <w:r w:rsidRPr="008A5F0F">
              <w:rPr>
                <w:rFonts w:eastAsia="Times New Roman" w:cs="Times New Roman"/>
                <w:color w:val="333333"/>
                <w:sz w:val="28"/>
                <w:szCs w:val="28"/>
              </w:rPr>
              <w:t>Công trình xử lý nước thải bằng phương pháp cơ học, hóa lý và sinh học được xây dựng khép kín và có hệ thống thu gom và xử lý mùi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40</w:t>
            </w:r>
          </w:p>
        </w:tc>
      </w:tr>
      <w:tr w:rsidR="008A5F0F" w:rsidRPr="008A5F0F" w:rsidTr="008A5F0F">
        <w:trPr>
          <w:trHeight w:val="3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left"/>
              <w:rPr>
                <w:rFonts w:eastAsia="Times New Roman" w:cs="Times New Roman"/>
                <w:color w:val="333333"/>
                <w:sz w:val="28"/>
                <w:szCs w:val="28"/>
              </w:rPr>
            </w:pPr>
            <w:r w:rsidRPr="008A5F0F">
              <w:rPr>
                <w:rFonts w:eastAsia="Times New Roman" w:cs="Times New Roman"/>
                <w:color w:val="333333"/>
                <w:sz w:val="28"/>
                <w:szCs w:val="28"/>
              </w:rPr>
              <w:t>Khu đất để lọc ngầm nước thải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w:t>
            </w:r>
          </w:p>
        </w:tc>
        <w:bookmarkStart w:id="0" w:name="_GoBack"/>
        <w:bookmarkEnd w:id="0"/>
      </w:tr>
      <w:tr w:rsidR="008A5F0F" w:rsidRPr="008A5F0F" w:rsidTr="008A5F0F">
        <w:trPr>
          <w:trHeight w:val="58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left"/>
              <w:rPr>
                <w:rFonts w:eastAsia="Times New Roman" w:cs="Times New Roman"/>
                <w:color w:val="333333"/>
                <w:sz w:val="28"/>
                <w:szCs w:val="28"/>
              </w:rPr>
            </w:pPr>
            <w:r w:rsidRPr="008A5F0F">
              <w:rPr>
                <w:rFonts w:eastAsia="Times New Roman" w:cs="Times New Roman"/>
                <w:color w:val="333333"/>
                <w:sz w:val="28"/>
                <w:szCs w:val="28"/>
              </w:rPr>
              <w:t>Khu đất tưới cây xanh, nông nghiệp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150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w:t>
            </w:r>
          </w:p>
        </w:tc>
      </w:tr>
      <w:tr w:rsidR="008A5F0F" w:rsidRPr="008A5F0F" w:rsidTr="008A5F0F">
        <w:trPr>
          <w:trHeight w:val="3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left"/>
              <w:rPr>
                <w:rFonts w:eastAsia="Times New Roman" w:cs="Times New Roman"/>
                <w:color w:val="333333"/>
                <w:sz w:val="28"/>
                <w:szCs w:val="28"/>
              </w:rPr>
            </w:pPr>
            <w:r w:rsidRPr="008A5F0F">
              <w:rPr>
                <w:rFonts w:eastAsia="Times New Roman" w:cs="Times New Roman"/>
                <w:color w:val="333333"/>
                <w:sz w:val="28"/>
                <w:szCs w:val="28"/>
              </w:rPr>
              <w:t>Hồ sinh học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w:t>
            </w:r>
          </w:p>
        </w:tc>
      </w:tr>
      <w:tr w:rsidR="008A5F0F" w:rsidRPr="008A5F0F" w:rsidTr="008A5F0F">
        <w:trPr>
          <w:trHeight w:val="3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left"/>
              <w:rPr>
                <w:rFonts w:eastAsia="Times New Roman" w:cs="Times New Roman"/>
                <w:color w:val="333333"/>
                <w:sz w:val="28"/>
                <w:szCs w:val="28"/>
              </w:rPr>
            </w:pPr>
            <w:r w:rsidRPr="008A5F0F">
              <w:rPr>
                <w:rFonts w:eastAsia="Times New Roman" w:cs="Times New Roman"/>
                <w:color w:val="333333"/>
                <w:sz w:val="28"/>
                <w:szCs w:val="28"/>
              </w:rPr>
              <w:t>Mương ô xy hóa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150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center"/>
              <w:rPr>
                <w:rFonts w:eastAsia="Times New Roman" w:cs="Times New Roman"/>
                <w:color w:val="333333"/>
                <w:sz w:val="28"/>
                <w:szCs w:val="28"/>
              </w:rPr>
            </w:pPr>
            <w:r w:rsidRPr="008A5F0F">
              <w:rPr>
                <w:rFonts w:eastAsia="Times New Roman" w:cs="Times New Roman"/>
                <w:color w:val="333333"/>
                <w:sz w:val="28"/>
                <w:szCs w:val="28"/>
              </w:rPr>
              <w:t>-</w:t>
            </w:r>
          </w:p>
        </w:tc>
      </w:tr>
      <w:tr w:rsidR="008A5F0F" w:rsidRPr="008A5F0F" w:rsidTr="008A5F0F">
        <w:trPr>
          <w:trHeight w:val="585"/>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A5F0F" w:rsidRPr="008A5F0F" w:rsidRDefault="008A5F0F" w:rsidP="008A5F0F">
            <w:pPr>
              <w:spacing w:after="150" w:line="240" w:lineRule="auto"/>
              <w:jc w:val="left"/>
              <w:rPr>
                <w:rFonts w:eastAsia="Times New Roman" w:cs="Times New Roman"/>
                <w:color w:val="333333"/>
                <w:sz w:val="28"/>
                <w:szCs w:val="28"/>
              </w:rPr>
            </w:pPr>
            <w:r w:rsidRPr="008A5F0F">
              <w:rPr>
                <w:rFonts w:eastAsia="Times New Roman" w:cs="Times New Roman"/>
                <w:color w:val="333333"/>
                <w:sz w:val="28"/>
                <w:szCs w:val="28"/>
              </w:rPr>
              <w:t>CHÚ THÍCH: Đối với trường hợp không quy định thông số và các công nghệ xử lý khác, khoảng cách an toàn về môi trường phải được xác định thông qua đánh giá tác động môi trường.</w:t>
            </w:r>
          </w:p>
        </w:tc>
      </w:tr>
    </w:tbl>
    <w:p w:rsidR="00EB5AB5" w:rsidRPr="008A5F0F" w:rsidRDefault="00EB5AB5">
      <w:pPr>
        <w:rPr>
          <w:rFonts w:cs="Times New Roman"/>
          <w:sz w:val="28"/>
          <w:szCs w:val="28"/>
        </w:rPr>
      </w:pPr>
    </w:p>
    <w:sectPr w:rsidR="00EB5AB5" w:rsidRPr="008A5F0F"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F0F"/>
    <w:rsid w:val="006F23EF"/>
    <w:rsid w:val="008A5F0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91420-2BE9-4B53-8D47-A99356C2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88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2024-02-04T21:33:00Z</dcterms:created>
  <dcterms:modified xsi:type="dcterms:W3CDTF">2024-02-04T21:34:00Z</dcterms:modified>
</cp:coreProperties>
</file>