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B63" w14:textId="77777777" w:rsidR="00670749" w:rsidRPr="00670749" w:rsidRDefault="00670749" w:rsidP="006707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67074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do –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Hạnh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phúc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br/>
        <w:t>————————</w:t>
      </w:r>
    </w:p>
    <w:p w14:paraId="7FE9E930" w14:textId="77777777" w:rsidR="00670749" w:rsidRPr="00670749" w:rsidRDefault="00670749" w:rsidP="006707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b/>
          <w:bCs/>
          <w:sz w:val="28"/>
          <w:szCs w:val="28"/>
        </w:rPr>
        <w:t>BÀI THU HOẠCH</w:t>
      </w:r>
    </w:p>
    <w:p w14:paraId="4BA3C76E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74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Chí Minh</w:t>
      </w:r>
    </w:p>
    <w:p w14:paraId="65269D80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: Trường ….</w:t>
      </w:r>
    </w:p>
    <w:p w14:paraId="15752FD6" w14:textId="77777777" w:rsidR="00670749" w:rsidRPr="00670749" w:rsidRDefault="00670749" w:rsidP="00670749">
      <w:pPr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074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670749">
        <w:rPr>
          <w:rFonts w:ascii="Times New Roman" w:hAnsi="Times New Roman" w:cs="Times New Roman"/>
          <w:sz w:val="28"/>
          <w:szCs w:val="28"/>
        </w:rPr>
        <w:t>.</w:t>
      </w:r>
      <w:r w:rsidRPr="00670749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:……</w:t>
      </w:r>
      <w:r w:rsidRPr="00670749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:…..</w:t>
      </w:r>
    </w:p>
    <w:p w14:paraId="4BB8F3A4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Chí Minh,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Chí Minh.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:</w:t>
      </w:r>
    </w:p>
    <w:p w14:paraId="1167BEAF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.</w:t>
      </w:r>
    </w:p>
    <w:p w14:paraId="540B0CD3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ý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.</w:t>
      </w:r>
    </w:p>
    <w:p w14:paraId="46F7DEE8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:</w:t>
      </w:r>
    </w:p>
    <w:p w14:paraId="2E2F4578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.</w:t>
      </w:r>
    </w:p>
    <w:p w14:paraId="6688E89B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tụy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lastRenderedPageBreak/>
        <w:t>vụ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xa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liêu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.</w:t>
      </w:r>
    </w:p>
    <w:p w14:paraId="2D505E3F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thừng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Lênin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kia,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do “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mù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suông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Phong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.</w:t>
      </w:r>
    </w:p>
    <w:p w14:paraId="7F3C6BDA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.</w:t>
      </w:r>
    </w:p>
    <w:p w14:paraId="4C0289A6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khuôn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ỷ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mệnh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”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lối</w:t>
      </w:r>
      <w:proofErr w:type="spellEnd"/>
      <w:proofErr w:type="gram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; hay ”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lưng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chê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074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”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dũng</w:t>
      </w:r>
      <w:proofErr w:type="spellEnd"/>
      <w:proofErr w:type="gram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dũng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”. ”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gan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gan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.</w:t>
      </w:r>
    </w:p>
    <w:p w14:paraId="18677E19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.</w:t>
      </w:r>
    </w:p>
    <w:p w14:paraId="555D41EC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lường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đòi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lastRenderedPageBreak/>
        <w:t>hiệu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; Trong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:</w:t>
      </w:r>
    </w:p>
    <w:p w14:paraId="75B6E774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đòi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”;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Lênin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ô,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.</w:t>
      </w:r>
    </w:p>
    <w:p w14:paraId="04DA3C7D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Phong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: “…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”</w:t>
      </w:r>
    </w:p>
    <w:p w14:paraId="434F37E4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do: “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”  </w:t>
      </w:r>
    </w:p>
    <w:p w14:paraId="511FED4F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.</w:t>
      </w:r>
    </w:p>
    <w:p w14:paraId="50DFD47A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Chí Minh,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lastRenderedPageBreak/>
        <w:t>luyện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.</w:t>
      </w:r>
    </w:p>
    <w:p w14:paraId="35E731ED" w14:textId="77777777" w:rsidR="00670749" w:rsidRPr="00670749" w:rsidRDefault="00670749" w:rsidP="006707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3. Lưu ý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proofErr w:type="gram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phong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đứng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731044" w14:textId="77777777" w:rsidR="00670749" w:rsidRPr="00670749" w:rsidRDefault="00670749" w:rsidP="006707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Gần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lắng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nghe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43B8E6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Lo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lo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;</w:t>
      </w:r>
    </w:p>
    <w:p w14:paraId="5F19323C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;</w:t>
      </w:r>
    </w:p>
    <w:p w14:paraId="64A91591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bớt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thấu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.</w:t>
      </w:r>
    </w:p>
    <w:p w14:paraId="45AD397C" w14:textId="77777777" w:rsidR="00670749" w:rsidRPr="00670749" w:rsidRDefault="00670749" w:rsidP="006707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Khuôn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mẫu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chân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thanh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18333C6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Tôn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;</w:t>
      </w:r>
    </w:p>
    <w:p w14:paraId="4165F1B8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nhường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;</w:t>
      </w:r>
    </w:p>
    <w:p w14:paraId="7EF701EC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Nói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;</w:t>
      </w:r>
    </w:p>
    <w:p w14:paraId="6511B205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Xin,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;</w:t>
      </w:r>
    </w:p>
    <w:p w14:paraId="72E74A3F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ủng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hay,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;</w:t>
      </w:r>
    </w:p>
    <w:p w14:paraId="2E184A53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tin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cậy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.</w:t>
      </w:r>
    </w:p>
    <w:p w14:paraId="74E81A4E" w14:textId="77777777" w:rsidR="00670749" w:rsidRPr="00670749" w:rsidRDefault="00670749" w:rsidP="006707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Thận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trọng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 xml:space="preserve">, khoa </w:t>
      </w:r>
      <w:proofErr w:type="spellStart"/>
      <w:r w:rsidRPr="00670749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6707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7461F78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Công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;</w:t>
      </w:r>
    </w:p>
    <w:p w14:paraId="2831FF42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hợp</w:t>
      </w:r>
      <w:proofErr w:type="spellEnd"/>
    </w:p>
    <w:p w14:paraId="211A5774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;</w:t>
      </w:r>
    </w:p>
    <w:p w14:paraId="0A99B3C4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hay,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;</w:t>
      </w:r>
    </w:p>
    <w:p w14:paraId="459229A3" w14:textId="77777777" w:rsidR="00670749" w:rsidRPr="00670749" w:rsidRDefault="00670749" w:rsidP="00670749">
      <w:pPr>
        <w:jc w:val="both"/>
        <w:rPr>
          <w:rFonts w:ascii="Times New Roman" w:hAnsi="Times New Roman" w:cs="Times New Roman"/>
          <w:sz w:val="28"/>
          <w:szCs w:val="28"/>
        </w:rPr>
      </w:pPr>
      <w:r w:rsidRPr="0067074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70749">
        <w:rPr>
          <w:rFonts w:ascii="Times New Roman" w:hAnsi="Times New Roman" w:cs="Times New Roman"/>
          <w:sz w:val="28"/>
          <w:szCs w:val="28"/>
        </w:rPr>
        <w:t>.</w:t>
      </w:r>
    </w:p>
    <w:p w14:paraId="56FBC339" w14:textId="77777777" w:rsidR="00EE6245" w:rsidRPr="00670749" w:rsidRDefault="00EE6245" w:rsidP="006707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6245" w:rsidRPr="00670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49"/>
    <w:rsid w:val="00670749"/>
    <w:rsid w:val="00CB4D18"/>
    <w:rsid w:val="00D8072B"/>
    <w:rsid w:val="00E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6D4B"/>
  <w15:chartTrackingRefBased/>
  <w15:docId w15:val="{499C2D52-E151-467B-940C-28A7AB35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7488</Characters>
  <Application>Microsoft Office Word</Application>
  <DocSecurity>0</DocSecurity>
  <Lines>62</Lines>
  <Paragraphs>17</Paragraphs>
  <ScaleCrop>false</ScaleCrop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2024-07-30T05:04:00Z</dcterms:created>
  <dcterms:modified xsi:type="dcterms:W3CDTF">2024-07-30T05:04:00Z</dcterms:modified>
</cp:coreProperties>
</file>