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A06" w:rsidRPr="00956A06" w:rsidRDefault="00956A06" w:rsidP="00956A06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r w:rsidRPr="00956A06">
        <w:rPr>
          <w:rFonts w:eastAsia="Times New Roman" w:cs="Times New Roman"/>
          <w:sz w:val="24"/>
          <w:szCs w:val="24"/>
        </w:rPr>
        <w:t>Mức phạt tiền đối với các hành vi vi phạm trong lĩnh vực đất đai được quy định cụ thể như sau:</w:t>
      </w:r>
    </w:p>
    <w:tbl>
      <w:tblPr>
        <w:tblW w:w="0" w:type="auto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30"/>
        <w:gridCol w:w="2493"/>
        <w:gridCol w:w="2356"/>
      </w:tblGrid>
      <w:tr w:rsidR="00956A06" w:rsidRPr="00956A06" w:rsidTr="00956A06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56A06">
              <w:rPr>
                <w:rFonts w:eastAsia="Times New Roman" w:cs="Times New Roman"/>
                <w:b/>
                <w:bCs/>
                <w:sz w:val="24"/>
                <w:szCs w:val="24"/>
              </w:rPr>
              <w:t>Hành vi vi phạm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56A06">
              <w:rPr>
                <w:rFonts w:eastAsia="Times New Roman" w:cs="Times New Roman"/>
                <w:b/>
                <w:bCs/>
                <w:sz w:val="24"/>
                <w:szCs w:val="24"/>
              </w:rPr>
              <w:t>Diện tích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56A06">
              <w:rPr>
                <w:rFonts w:eastAsia="Times New Roman" w:cs="Times New Roman"/>
                <w:b/>
                <w:bCs/>
                <w:sz w:val="24"/>
                <w:szCs w:val="24"/>
              </w:rPr>
              <w:t>Mức phạt (VNĐ)</w:t>
            </w:r>
          </w:p>
        </w:tc>
      </w:tr>
      <w:tr w:rsidR="00956A06" w:rsidRPr="00956A06" w:rsidTr="00956A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b/>
                <w:bCs/>
                <w:sz w:val="24"/>
                <w:szCs w:val="24"/>
              </w:rPr>
              <w:t>Chuyển đất trồng lúa sang loại đất khác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Dưới 0.5 ha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2,000,000 - 3,000,000</w:t>
            </w:r>
          </w:p>
        </w:tc>
      </w:tr>
      <w:tr w:rsidR="00956A06" w:rsidRPr="00956A06" w:rsidTr="00956A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0.5 ha đến dưới 1 ha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3,000,000 - 5,000,000</w:t>
            </w:r>
          </w:p>
        </w:tc>
      </w:tr>
      <w:tr w:rsidR="00956A06" w:rsidRPr="00956A06" w:rsidTr="00956A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 ha đến dưới 3 ha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5,000,000 - 10,000,000</w:t>
            </w:r>
          </w:p>
        </w:tc>
      </w:tr>
      <w:tr w:rsidR="00956A06" w:rsidRPr="00956A06" w:rsidTr="00956A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3 ha trở lên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10,000,000 - 30,000,000</w:t>
            </w:r>
          </w:p>
        </w:tc>
      </w:tr>
      <w:tr w:rsidR="00956A06" w:rsidRPr="00956A06" w:rsidTr="00956A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b/>
                <w:bCs/>
                <w:sz w:val="24"/>
                <w:szCs w:val="24"/>
              </w:rPr>
              <w:t>Chuyển đất rừng sang loại đất khác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Dưới 0.5 ha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2,000,000 - 3,000,000</w:t>
            </w:r>
          </w:p>
        </w:tc>
      </w:tr>
      <w:tr w:rsidR="00956A06" w:rsidRPr="00956A06" w:rsidTr="00956A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0.5 ha đến dưới 1 ha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3,000,000 - 5,000,000</w:t>
            </w:r>
          </w:p>
        </w:tc>
      </w:tr>
      <w:tr w:rsidR="00956A06" w:rsidRPr="00956A06" w:rsidTr="00956A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 ha đến dưới 2 ha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5,000,000 - 10,000,000</w:t>
            </w:r>
          </w:p>
        </w:tc>
      </w:tr>
      <w:tr w:rsidR="00956A06" w:rsidRPr="00956A06" w:rsidTr="00956A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2 ha trở lên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10,000,000 - 30,000,000</w:t>
            </w:r>
          </w:p>
        </w:tc>
      </w:tr>
      <w:tr w:rsidR="00956A06" w:rsidRPr="00956A06" w:rsidTr="00956A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b/>
                <w:bCs/>
                <w:sz w:val="24"/>
                <w:szCs w:val="24"/>
              </w:rPr>
              <w:t>Chuyển đất nông nghiệp sang đất phi nông nghiệp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Dưới 0.05 ha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3,000,000 - 5,000,000</w:t>
            </w:r>
          </w:p>
        </w:tc>
      </w:tr>
      <w:tr w:rsidR="00956A06" w:rsidRPr="00956A06" w:rsidTr="00956A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0.05 ha đến dưới 0.1 ha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5,000,000 - 10,000,000</w:t>
            </w:r>
          </w:p>
        </w:tc>
      </w:tr>
      <w:tr w:rsidR="00956A06" w:rsidRPr="00956A06" w:rsidTr="00956A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0.1 ha đến dưới 0.5 ha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10,000,000 - 20,000,000</w:t>
            </w:r>
          </w:p>
        </w:tc>
      </w:tr>
      <w:tr w:rsidR="00956A06" w:rsidRPr="00956A06" w:rsidTr="00956A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0.5 ha đến dưới 1 ha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20,000,000 - 50,000,000</w:t>
            </w:r>
          </w:p>
        </w:tc>
      </w:tr>
      <w:tr w:rsidR="00956A06" w:rsidRPr="00956A06" w:rsidTr="00956A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1 ha trở lên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50,000,000 - 150,000,000</w:t>
            </w:r>
          </w:p>
        </w:tc>
      </w:tr>
      <w:tr w:rsidR="00956A06" w:rsidRPr="00956A06" w:rsidTr="00956A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b/>
                <w:bCs/>
                <w:sz w:val="24"/>
                <w:szCs w:val="24"/>
              </w:rPr>
              <w:t>Chuyển mục đích sử dụng đất tại phường, thị trấn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Tất cả các diện tích</w:t>
            </w:r>
          </w:p>
        </w:tc>
        <w:tc>
          <w:tcPr>
            <w:tcW w:w="0" w:type="auto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2 lần mức phạt tương ứng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b/>
                <w:bCs/>
                <w:sz w:val="24"/>
                <w:szCs w:val="24"/>
              </w:rPr>
              <w:t>Điều 13: Lấn đất hoặc chiếm đất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1. Lấn đất do Nhà nước quản lý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Dưới 0,02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3.000.000 - 5.000.000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0,02 đến dưới 0,05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5.000.000 - 10.000.000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0,05 đến dưới 0,1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10.000.000 - 20.000.000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0,1 đến dưới 0,5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20.000.000 - 50.000.000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0,5 đến dưới 1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50.000.000 - 100.000.000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1 đến dưới 2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100.000.000 - 150.000.000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2 héc ta trở lên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150.000.000 - 200.000.000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2. Lấn đất nông nghiệp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Dưới 0,02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3.000.000 - 5.000.000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0,02 đến dưới 0,05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5.000.000 - 10.000.000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0,05 đến dưới 0,1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10.000.000 - 30.000.000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0,1 đến dưới 0,5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30.000.000 - 50.000.000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0,5 đến dưới 1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50.000.000 - 100.000.000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1 đến dưới 2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100.000.000 - 150.000.000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2 héc ta trở lên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150.000.000 - 200.000.000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3. Lấn đất trồng lúa, rừng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Dưới 0,02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5.000.000 - 10.000.000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0,02 đến dưới 0,05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10.000.000 - 20.000.000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0,05 đến dưới 0,1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20.000.000 - 30.000.000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0,1 đến dưới 0,5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30.000.000 - 50.000.000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0,5 đến dưới 1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50.000.000 - 100.000.000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1 héc ta trở lên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100.000.000 - 200.000.000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4. Lấn đất phi nông nghiệp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Dưới 0,02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5.000.000 - 10.000.000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0,02 đến dưới 0,05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10.000.000 - 30.000.000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0,05 đến dưới 0,1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30.000.000 - 50.000.000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0,1 đến dưới 0,5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50.000.000 - 100.000.000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0,5 đến dưới 1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100.000.000 - 150.000.000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1 héc ta trở lên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150.000.000 - 200.000.000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5. Sử dụng đất chưa bàn giao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Dưới 0,05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10.000.000 - 30.000.000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0,05 đến dưới 0,1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30.000.000 - 50.000.000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0,1 đến dưới 0,5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50.000.000 - 100.000.000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0,5 đến dưới 1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100.000.000 - 150.000.000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1 đến dưới 2 héc 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150.000.000 - 300.000.000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2 héc ta trở lên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300.000.000 - 500.000.000 đồng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6. Lấn đất ở phường, thị trấn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Tất cả các diện tích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Gấp đôi mức phạt quy định, tối đa 500 triệu cá nhân, 1 tỷ tổ chức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7. Lấn đất trong hành lang bảo vệ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Tùy thuộc vào quy định chuyên ngành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Theo quy định của pháp luật chuyên ngành</w:t>
            </w:r>
          </w:p>
        </w:tc>
      </w:tr>
      <w:tr w:rsidR="00956A06" w:rsidRPr="00956A06" w:rsidTr="00902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8. Biện pháp khắc phục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Khôi phục tình trạng ban đầu, nộp lại lợi bất hợp pháp</w:t>
            </w:r>
          </w:p>
        </w:tc>
      </w:tr>
    </w:tbl>
    <w:p w:rsidR="00956A06" w:rsidRPr="00956A06" w:rsidRDefault="00956A06" w:rsidP="00956A06">
      <w:pPr>
        <w:spacing w:after="0" w:line="240" w:lineRule="auto"/>
        <w:jc w:val="left"/>
        <w:rPr>
          <w:rFonts w:eastAsia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2552"/>
        <w:gridCol w:w="2311"/>
      </w:tblGrid>
      <w:tr w:rsidR="00956A06" w:rsidRPr="00956A06" w:rsidTr="00902849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b/>
                <w:bCs/>
                <w:sz w:val="24"/>
                <w:szCs w:val="24"/>
              </w:rPr>
              <w:t>Điều 14: Hủy hoại đất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56A06" w:rsidRPr="00956A06" w:rsidTr="00902849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1. Suy giảm chất lượng đất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Dưới 0,05 héc ta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2.000.000 - 5.000.000 đồng</w:t>
            </w:r>
          </w:p>
        </w:tc>
      </w:tr>
      <w:tr w:rsidR="00956A06" w:rsidRPr="00956A06" w:rsidTr="00902849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0,05 đến dưới 0,1 héc ta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5.000.000 - 10.000.000 đồng</w:t>
            </w:r>
          </w:p>
        </w:tc>
      </w:tr>
      <w:tr w:rsidR="00956A06" w:rsidRPr="00956A06" w:rsidTr="00902849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0,1 đến dưới 0,5 héc ta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10.000.000 - 30.000.000 đồng</w:t>
            </w:r>
          </w:p>
        </w:tc>
      </w:tr>
      <w:tr w:rsidR="00956A06" w:rsidRPr="00956A06" w:rsidTr="00902849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0,5 đến dưới 1 héc ta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30.000.000 - 50.000.000 đồng</w:t>
            </w:r>
          </w:p>
        </w:tc>
      </w:tr>
      <w:tr w:rsidR="00956A06" w:rsidRPr="00956A06" w:rsidTr="00902849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1 héc ta trở lên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50.000.000 - 100.000.000 đồng</w:t>
            </w:r>
          </w:p>
        </w:tc>
      </w:tr>
      <w:tr w:rsidR="00956A06" w:rsidRPr="00956A06" w:rsidTr="00902849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2. Biến dạng địa hình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Dưới 0,05 héc ta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5.000.000 - 10.000.000 đồng</w:t>
            </w:r>
          </w:p>
        </w:tc>
      </w:tr>
      <w:tr w:rsidR="00956A06" w:rsidRPr="00956A06" w:rsidTr="00902849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0,05 đến dưới 0,1 héc ta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10.000.000 - 20.000.000 đồng</w:t>
            </w:r>
          </w:p>
        </w:tc>
      </w:tr>
      <w:tr w:rsidR="00956A06" w:rsidRPr="00956A06" w:rsidTr="00902849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0,1 đến dưới 0,5 héc ta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20.000.000 - 50.000.000 đồng</w:t>
            </w:r>
          </w:p>
        </w:tc>
      </w:tr>
      <w:tr w:rsidR="00956A06" w:rsidRPr="00956A06" w:rsidTr="00902849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0,5 đến dưới 1 héc ta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50.000.000 - 100.000.000 đồng</w:t>
            </w:r>
          </w:p>
        </w:tc>
      </w:tr>
      <w:tr w:rsidR="00956A06" w:rsidRPr="00956A06" w:rsidTr="00902849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1 héc ta trở lên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100.000.000 - 200.000.000 đồng</w:t>
            </w:r>
          </w:p>
        </w:tc>
      </w:tr>
      <w:tr w:rsidR="00956A06" w:rsidRPr="00956A06" w:rsidTr="00902849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3. Ô nhiễm đất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Theo quy định về bảo vệ môi trường</w:t>
            </w:r>
          </w:p>
        </w:tc>
      </w:tr>
      <w:tr w:rsidR="00956A06" w:rsidRPr="00956A06" w:rsidTr="00902849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lastRenderedPageBreak/>
              <w:t>4. Không khả thi khôi phục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Gấp đôi mức phạt tương ứng, tối đa 500 triệu cá nhân, 1 tỷ tổ chức</w:t>
            </w:r>
          </w:p>
        </w:tc>
      </w:tr>
      <w:tr w:rsidR="00956A06" w:rsidRPr="00956A06" w:rsidTr="00902849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5. Biện pháp khắc phục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Khôi phục tình trạng ban đầu, nếu có thể</w:t>
            </w:r>
          </w:p>
        </w:tc>
      </w:tr>
    </w:tbl>
    <w:p w:rsidR="00956A06" w:rsidRPr="00956A06" w:rsidRDefault="00956A06" w:rsidP="00956A06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2552"/>
        <w:gridCol w:w="2311"/>
      </w:tblGrid>
      <w:tr w:rsidR="00956A06" w:rsidRPr="00956A06" w:rsidTr="00F536A6">
        <w:trPr>
          <w:tblHeader/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56A06">
              <w:rPr>
                <w:rFonts w:eastAsia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56A06">
              <w:rPr>
                <w:rFonts w:eastAsia="Times New Roman" w:cs="Times New Roman"/>
                <w:b/>
                <w:bCs/>
                <w:sz w:val="24"/>
                <w:szCs w:val="24"/>
              </w:rPr>
              <w:t>Diện tích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56A06">
              <w:rPr>
                <w:rFonts w:eastAsia="Times New Roman" w:cs="Times New Roman"/>
                <w:b/>
                <w:bCs/>
                <w:sz w:val="24"/>
                <w:szCs w:val="24"/>
              </w:rPr>
              <w:t>Mức xử phạt</w:t>
            </w:r>
          </w:p>
        </w:tc>
      </w:tr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b/>
                <w:bCs/>
                <w:sz w:val="24"/>
                <w:szCs w:val="24"/>
              </w:rPr>
              <w:t>Điều 15: Vi phạm trong xây dựng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1. Xây dựng công trình trái phép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Dưới 0,1 héc ta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5.000.000 - 10.000.000 đồng</w:t>
            </w:r>
          </w:p>
        </w:tc>
      </w:tr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0,1 đến dưới 0,5 héc ta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10.000.000 - 30.000.000 đồng</w:t>
            </w:r>
          </w:p>
        </w:tc>
      </w:tr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0,5 đến dưới 1 héc ta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30.000.000 - 50.000.000 đồng</w:t>
            </w:r>
          </w:p>
        </w:tc>
      </w:tr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1 héc ta trở lên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50.000.000 - 100.000.000 đồng</w:t>
            </w:r>
          </w:p>
        </w:tc>
      </w:tr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2. Xây dựng trên đất không đủ điều kiện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Tất cả các diện tích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Gấp đôi mức phạt quy định</w:t>
            </w:r>
          </w:p>
        </w:tc>
      </w:tr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3. Biện pháp khắc phục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Buộc tháo dỡ công trình, khôi phục hiện trạng</w:t>
            </w:r>
          </w:p>
        </w:tc>
      </w:tr>
    </w:tbl>
    <w:p w:rsidR="00956A06" w:rsidRPr="00956A06" w:rsidRDefault="00956A06" w:rsidP="00956A06">
      <w:pPr>
        <w:spacing w:after="0" w:line="240" w:lineRule="auto"/>
        <w:jc w:val="left"/>
        <w:rPr>
          <w:rFonts w:eastAsia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2552"/>
        <w:gridCol w:w="2311"/>
      </w:tblGrid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b/>
                <w:bCs/>
                <w:sz w:val="24"/>
                <w:szCs w:val="24"/>
              </w:rPr>
              <w:t>Điều 16: Vi phạm về chuyển nhượng quyền sử dụng đất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1. Chuyển nhượng không đúng quy định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Tất cả các diện tích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10.000.000 - 30.000.000 đồng</w:t>
            </w:r>
          </w:p>
        </w:tc>
      </w:tr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2. Chuyển nhượng quyền sử dụng đất trái phép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Tất cả các diện tích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50.000.000 - 100.000.000 đồng</w:t>
            </w:r>
          </w:p>
        </w:tc>
      </w:tr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3. Biện pháp khắc phục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Đảm bảo tính hợp pháp cho quyền sử dụng đất</w:t>
            </w:r>
          </w:p>
        </w:tc>
      </w:tr>
    </w:tbl>
    <w:p w:rsidR="00956A06" w:rsidRPr="00956A06" w:rsidRDefault="00956A06" w:rsidP="00956A06">
      <w:pPr>
        <w:spacing w:after="0" w:line="240" w:lineRule="auto"/>
        <w:jc w:val="left"/>
        <w:rPr>
          <w:rFonts w:eastAsia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2552"/>
        <w:gridCol w:w="2311"/>
      </w:tblGrid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b/>
                <w:bCs/>
                <w:sz w:val="24"/>
                <w:szCs w:val="24"/>
              </w:rPr>
              <w:t>Điều 17: Vi phạm trong sử dụng đất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1. Sử dụng đất không đúng mục đích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Dưới 0,1 héc ta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5.000.000 - 10.000.000 đồng</w:t>
            </w:r>
          </w:p>
        </w:tc>
      </w:tr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0,1 đến dưới 0,5 héc ta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10.000.000 - 20.000.000 đồng</w:t>
            </w:r>
          </w:p>
        </w:tc>
      </w:tr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0,5 đến dưới 1 héc ta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20.000.000 - 50.000.000 đồng</w:t>
            </w:r>
          </w:p>
        </w:tc>
      </w:tr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1 héc ta trở lên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50.000.000 - 100.000.000 đồng</w:t>
            </w:r>
          </w:p>
        </w:tc>
      </w:tr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lastRenderedPageBreak/>
              <w:t>2. Không thực hiện nghĩa vụ tài chính liên quan đến đất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Tất cả các diện tích</w:t>
            </w: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Từ 10% đến 20% giá trị quyền sử dụng đất</w:t>
            </w:r>
          </w:p>
        </w:tc>
      </w:tr>
      <w:tr w:rsidR="00956A06" w:rsidRPr="00956A0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3. Biện pháp khắc phục</w:t>
            </w:r>
          </w:p>
        </w:tc>
        <w:tc>
          <w:tcPr>
            <w:tcW w:w="2522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  <w:hideMark/>
          </w:tcPr>
          <w:p w:rsidR="00956A06" w:rsidRPr="00956A06" w:rsidRDefault="00956A06" w:rsidP="00956A0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56A06">
              <w:rPr>
                <w:rFonts w:eastAsia="Times New Roman" w:cs="Times New Roman"/>
                <w:sz w:val="24"/>
                <w:szCs w:val="24"/>
              </w:rPr>
              <w:t>Đảm bảo sử dụng đất đúng mục đích, nộp nghĩa vụ tài chính</w:t>
            </w:r>
          </w:p>
        </w:tc>
      </w:tr>
    </w:tbl>
    <w:p w:rsidR="00F536A6" w:rsidRDefault="00F536A6" w:rsidP="00F536A6">
      <w:pPr>
        <w:pStyle w:val="Heading3"/>
        <w:rPr>
          <w:sz w:val="27"/>
        </w:rPr>
      </w:pPr>
      <w:r>
        <w:t>Điều 18: Chuyển quyền, cho thuê, thế chấp đất không đúng quy định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2552"/>
        <w:gridCol w:w="2311"/>
      </w:tblGrid>
      <w:tr w:rsidR="00F536A6" w:rsidTr="00F536A6">
        <w:trPr>
          <w:tblHeader/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Nội dung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Diện tích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Mức xử phạt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pPr>
              <w:jc w:val="left"/>
            </w:pPr>
            <w:r>
              <w:t>1. Chuyển quyền sử dụng đất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>
            <w:r>
              <w:t>Dưới 0,05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3.000.000 - 5.000.000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0,05 đến dưới 0,1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5.000.000 - 10.000.000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0,1 đến dưới 0,5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10.000.000 - 20.000.000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0,5 đến dưới 1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20.000.000 - 30.000.000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1 héc ta trở lên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30.000.000 - 50.000.000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r>
              <w:t>2. Cho thuê quyền sử dụng đất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>
            <w:r>
              <w:t>Dưới 0,05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5.000.000 - 10.000.000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0,05 đến dưới 0,1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10.000.000 - 20.000.000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0,1 đến dưới 0,5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20.000.000 - 50.000.000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0,5 đến dưới 1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50.000.000 - 100.000.000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1 héc ta trở lên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100.000.000 - 150.000.000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r>
              <w:lastRenderedPageBreak/>
              <w:t>3. Chuyển nhượng, tặng cho, thừa kế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>
            <w:r>
              <w:t>Dưới 0,05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10.000.000 - 20.000.000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0,05 đến dưới 0,1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20.000.000 - 50.000.000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0,1 đến dưới 0,2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50.000.000 - 100.000.000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0,2 đến dưới 0,5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100.000.000 - 150.000.000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0,5 héc ta trở lên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150.000.000 - 200.000.000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r>
              <w:t>4. Chuyển nhượng đất do Nhà nước giao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>
            <w:r>
              <w:t>Dưới 0,05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5.000.000 - 10.000.000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0,05 đến dưới 0,1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10.000.000 - 20.000.000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0,1 đến dưới 0,5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20.000.000 - 50.000.000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0,5 đến dưới 1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50.000.000 - 100.000.000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1 héc ta trở lên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100.000.000 - 200.000.000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r>
              <w:t>5. Tặng cho quyền sử dụng đất không đúng quy định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>
            <w:r>
              <w:t>Dưới 0,05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10.000.000 - 20.000.000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0,05 đến dưới 0,1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20.000.000 - 50.000.000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0,1 đến dưới 0,5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50.000.000 - 100.000.000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0,5 héc ta trở lên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100.000.000 - 150.000.000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r>
              <w:t>6. Đơn vị sự nghiệp công lập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>
            <w:r>
              <w:t>Dưới 0,05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50.000.000 - 100.000.000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0,05 đến dưới 0,1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100.000.000 - 150.000.000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0,1 đến dưới 0,5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150.000.000 - 200.000.000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0,5 đến dưới 1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200.000.000 - 250.000.000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1 héc ta trở lên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250.000.000 - 300.000.000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r>
              <w:t>7. Biện pháp khắc phục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/>
        </w:tc>
        <w:tc>
          <w:tcPr>
            <w:tcW w:w="2266" w:type="dxa"/>
            <w:vAlign w:val="center"/>
            <w:hideMark/>
          </w:tcPr>
          <w:p w:rsidR="00F536A6" w:rsidRDefault="00F536A6">
            <w:pPr>
              <w:rPr>
                <w:sz w:val="20"/>
                <w:szCs w:val="20"/>
              </w:rPr>
            </w:pP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a) Buộc trả lại đất và tài sản gắn liền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/>
        </w:tc>
        <w:tc>
          <w:tcPr>
            <w:tcW w:w="2266" w:type="dxa"/>
            <w:vAlign w:val="center"/>
            <w:hideMark/>
          </w:tcPr>
          <w:p w:rsidR="00F536A6" w:rsidRDefault="00F536A6">
            <w:pPr>
              <w:rPr>
                <w:sz w:val="20"/>
                <w:szCs w:val="20"/>
              </w:rPr>
            </w:pP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b) Buộc đăng ký đất đai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/>
        </w:tc>
        <w:tc>
          <w:tcPr>
            <w:tcW w:w="2266" w:type="dxa"/>
            <w:vAlign w:val="center"/>
            <w:hideMark/>
          </w:tcPr>
          <w:p w:rsidR="00F536A6" w:rsidRDefault="00F536A6">
            <w:pPr>
              <w:rPr>
                <w:sz w:val="20"/>
                <w:szCs w:val="20"/>
              </w:rPr>
            </w:pP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c) Buộc chấm dứt hợp đồng không đúng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/>
        </w:tc>
        <w:tc>
          <w:tcPr>
            <w:tcW w:w="2266" w:type="dxa"/>
            <w:vAlign w:val="center"/>
            <w:hideMark/>
          </w:tcPr>
          <w:p w:rsidR="00F536A6" w:rsidRDefault="00F536A6">
            <w:pPr>
              <w:rPr>
                <w:sz w:val="20"/>
                <w:szCs w:val="20"/>
              </w:rPr>
            </w:pP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d) Buộc nộp số lợi bất hợp pháp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/>
        </w:tc>
        <w:tc>
          <w:tcPr>
            <w:tcW w:w="2266" w:type="dxa"/>
            <w:vAlign w:val="center"/>
            <w:hideMark/>
          </w:tcPr>
          <w:p w:rsidR="00F536A6" w:rsidRDefault="00F536A6">
            <w:pPr>
              <w:rPr>
                <w:sz w:val="20"/>
                <w:szCs w:val="20"/>
              </w:rPr>
            </w:pPr>
          </w:p>
        </w:tc>
      </w:tr>
    </w:tbl>
    <w:p w:rsidR="00F536A6" w:rsidRDefault="00F536A6" w:rsidP="00F536A6">
      <w:pPr>
        <w:pStyle w:val="Heading3"/>
        <w:rPr>
          <w:sz w:val="27"/>
          <w:szCs w:val="27"/>
        </w:rPr>
      </w:pPr>
      <w:r>
        <w:t>Điều 19: Vi phạm của tổ chức kinh tế nhận chuyển nhượng quyền sử dụng đất nông nghiệp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2552"/>
        <w:gridCol w:w="2311"/>
      </w:tblGrid>
      <w:tr w:rsidR="00F536A6" w:rsidTr="00F536A6">
        <w:trPr>
          <w:tblHeader/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Nội dung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Diện tích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Mức xử phạt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pPr>
              <w:jc w:val="left"/>
            </w:pPr>
            <w:r>
              <w:t>1. Tổ chức kinh tế không có phương án sử dụng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>
            <w:r>
              <w:t>Dưới 0,5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20.000.000 - 30.000.000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0,5 đến dưới 1,0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30.000.000 - 50.000.000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1,0 đến dưới 3,0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50.000.000 - 100.000.000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3 héc ta trở lên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100.000.000 - 200.000.000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r>
              <w:t>2. Cá nhân không sản xuất nông nghiệp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/>
        </w:tc>
        <w:tc>
          <w:tcPr>
            <w:tcW w:w="2266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50.000.000 - 100.000.000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r>
              <w:t>3. Biện pháp khắc phục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/>
        </w:tc>
        <w:tc>
          <w:tcPr>
            <w:tcW w:w="2266" w:type="dxa"/>
            <w:vAlign w:val="center"/>
            <w:hideMark/>
          </w:tcPr>
          <w:p w:rsidR="00F536A6" w:rsidRDefault="00F536A6">
            <w:pPr>
              <w:rPr>
                <w:sz w:val="20"/>
                <w:szCs w:val="20"/>
              </w:rPr>
            </w:pP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a) Lập phương án sử dụng đất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/>
        </w:tc>
        <w:tc>
          <w:tcPr>
            <w:tcW w:w="2266" w:type="dxa"/>
            <w:vAlign w:val="center"/>
            <w:hideMark/>
          </w:tcPr>
          <w:p w:rsidR="00F536A6" w:rsidRDefault="00F536A6">
            <w:pPr>
              <w:rPr>
                <w:sz w:val="20"/>
                <w:szCs w:val="20"/>
              </w:rPr>
            </w:pPr>
          </w:p>
        </w:tc>
      </w:tr>
      <w:tr w:rsidR="00F536A6" w:rsidTr="00F536A6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b) Thành lập tổ chức kinh tế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/>
        </w:tc>
        <w:tc>
          <w:tcPr>
            <w:tcW w:w="2266" w:type="dxa"/>
            <w:vAlign w:val="center"/>
            <w:hideMark/>
          </w:tcPr>
          <w:p w:rsidR="00F536A6" w:rsidRDefault="00F536A6">
            <w:pPr>
              <w:rPr>
                <w:sz w:val="20"/>
                <w:szCs w:val="20"/>
              </w:rPr>
            </w:pPr>
          </w:p>
        </w:tc>
      </w:tr>
    </w:tbl>
    <w:p w:rsidR="00F536A6" w:rsidRDefault="00F536A6" w:rsidP="00F536A6">
      <w:pPr>
        <w:pStyle w:val="Heading3"/>
        <w:rPr>
          <w:sz w:val="27"/>
          <w:szCs w:val="27"/>
        </w:rPr>
      </w:pPr>
      <w:r>
        <w:t>Điều 20: Nhận chuyển nhượng, nhận tặng cho quyền sử dụng đất vi phạm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4302"/>
      </w:tblGrid>
      <w:tr w:rsidR="00F536A6" w:rsidTr="00F536A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36A6" w:rsidRDefault="00F536A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Nội dung</w:t>
            </w:r>
          </w:p>
        </w:tc>
        <w:tc>
          <w:tcPr>
            <w:tcW w:w="0" w:type="auto"/>
            <w:vAlign w:val="center"/>
            <w:hideMark/>
          </w:tcPr>
          <w:p w:rsidR="00F536A6" w:rsidRDefault="00F536A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Mức xử phạt</w:t>
            </w:r>
          </w:p>
        </w:tc>
      </w:tr>
      <w:tr w:rsidR="00F536A6" w:rsidTr="00F536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6A6" w:rsidRDefault="00F536A6">
            <w:pPr>
              <w:jc w:val="left"/>
            </w:pPr>
            <w:r>
              <w:t>1. Tổ chức/cá nhân không thuộc quy định</w:t>
            </w:r>
          </w:p>
        </w:tc>
        <w:tc>
          <w:tcPr>
            <w:tcW w:w="0" w:type="auto"/>
            <w:vAlign w:val="center"/>
            <w:hideMark/>
          </w:tcPr>
          <w:p w:rsidR="00F536A6" w:rsidRDefault="00F536A6">
            <w:r>
              <w:t>Cá nhân: 20.000.000 - 50.000.000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6A6" w:rsidRDefault="00F536A6"/>
        </w:tc>
        <w:tc>
          <w:tcPr>
            <w:tcW w:w="0" w:type="auto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Tổ chức: 50.000.000 - 100.000.000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6A6" w:rsidRDefault="00F536A6">
            <w:r>
              <w:t>2. Nhận chuyển nhượng trong khu vực rừng</w:t>
            </w:r>
          </w:p>
        </w:tc>
        <w:tc>
          <w:tcPr>
            <w:tcW w:w="0" w:type="auto"/>
            <w:vAlign w:val="center"/>
            <w:hideMark/>
          </w:tcPr>
          <w:p w:rsidR="00F536A6" w:rsidRDefault="00F536A6">
            <w:r>
              <w:t>20.000.000 - 50.000.000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6A6" w:rsidRDefault="00F536A6">
            <w:r>
              <w:t>3. Nhận chuyển nhượng đất của người dân tộc</w:t>
            </w:r>
          </w:p>
        </w:tc>
        <w:tc>
          <w:tcPr>
            <w:tcW w:w="0" w:type="auto"/>
            <w:vAlign w:val="center"/>
            <w:hideMark/>
          </w:tcPr>
          <w:p w:rsidR="00F536A6" w:rsidRDefault="00F536A6">
            <w:r>
              <w:t>20.000.000 - 50.000.000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6A6" w:rsidRDefault="00F536A6">
            <w:r>
              <w:t>4. Tổ chức kinh tế nhận chuyển nhượng đất rừng</w:t>
            </w:r>
          </w:p>
        </w:tc>
        <w:tc>
          <w:tcPr>
            <w:tcW w:w="0" w:type="auto"/>
            <w:vAlign w:val="center"/>
            <w:hideMark/>
          </w:tcPr>
          <w:p w:rsidR="00F536A6" w:rsidRDefault="00F536A6">
            <w:r>
              <w:t>50.000.000 - 100.000.000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6A6" w:rsidRDefault="00F536A6">
            <w:r>
              <w:t>5. Biện pháp khắc phục</w:t>
            </w:r>
          </w:p>
        </w:tc>
        <w:tc>
          <w:tcPr>
            <w:tcW w:w="0" w:type="auto"/>
            <w:vAlign w:val="center"/>
            <w:hideMark/>
          </w:tcPr>
          <w:p w:rsidR="00F536A6" w:rsidRDefault="00F536A6">
            <w:r>
              <w:t>Buộc trả lại đất</w:t>
            </w:r>
          </w:p>
        </w:tc>
      </w:tr>
    </w:tbl>
    <w:p w:rsidR="00F536A6" w:rsidRDefault="00F536A6" w:rsidP="00F536A6">
      <w:pPr>
        <w:pStyle w:val="Heading3"/>
      </w:pPr>
      <w:r>
        <w:t>Điều 21: Bán tài sản gắn liền với đất vi phạm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4253"/>
      </w:tblGrid>
      <w:tr w:rsidR="00F536A6" w:rsidTr="00F536A6">
        <w:trPr>
          <w:tblHeader/>
          <w:tblCellSpacing w:w="15" w:type="dxa"/>
        </w:trPr>
        <w:tc>
          <w:tcPr>
            <w:tcW w:w="5053" w:type="dxa"/>
            <w:vAlign w:val="center"/>
            <w:hideMark/>
          </w:tcPr>
          <w:p w:rsidR="00F536A6" w:rsidRDefault="00F536A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Nội dung</w:t>
            </w:r>
          </w:p>
        </w:tc>
        <w:tc>
          <w:tcPr>
            <w:tcW w:w="4208" w:type="dxa"/>
            <w:vAlign w:val="center"/>
            <w:hideMark/>
          </w:tcPr>
          <w:p w:rsidR="00F536A6" w:rsidRDefault="00F536A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Mức xử phạt</w:t>
            </w:r>
          </w:p>
        </w:tc>
      </w:tr>
      <w:tr w:rsidR="00F536A6" w:rsidTr="00F536A6">
        <w:trPr>
          <w:tblCellSpacing w:w="15" w:type="dxa"/>
        </w:trPr>
        <w:tc>
          <w:tcPr>
            <w:tcW w:w="5053" w:type="dxa"/>
            <w:vAlign w:val="center"/>
            <w:hideMark/>
          </w:tcPr>
          <w:p w:rsidR="00F536A6" w:rsidRDefault="00F536A6">
            <w:pPr>
              <w:jc w:val="left"/>
            </w:pPr>
            <w:r>
              <w:t>1. Bán tài sản không đủ điều kiện</w:t>
            </w:r>
          </w:p>
        </w:tc>
        <w:tc>
          <w:tcPr>
            <w:tcW w:w="4208" w:type="dxa"/>
            <w:vAlign w:val="center"/>
            <w:hideMark/>
          </w:tcPr>
          <w:p w:rsidR="00F536A6" w:rsidRDefault="00F536A6">
            <w:r>
              <w:t>20.000.000 - 30.000.000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5053" w:type="dxa"/>
            <w:vAlign w:val="center"/>
            <w:hideMark/>
          </w:tcPr>
          <w:p w:rsidR="00F536A6" w:rsidRDefault="00F536A6">
            <w:r>
              <w:lastRenderedPageBreak/>
              <w:t>2. Bán tài sản gắn liền với đất</w:t>
            </w:r>
          </w:p>
        </w:tc>
        <w:tc>
          <w:tcPr>
            <w:tcW w:w="4208" w:type="dxa"/>
            <w:vAlign w:val="center"/>
            <w:hideMark/>
          </w:tcPr>
          <w:p w:rsidR="00F536A6" w:rsidRDefault="00F536A6">
            <w:r>
              <w:t>30.000.000 - 50.000.000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5053" w:type="dxa"/>
            <w:vAlign w:val="center"/>
            <w:hideMark/>
          </w:tcPr>
          <w:p w:rsidR="00F536A6" w:rsidRDefault="00F536A6">
            <w:r>
              <w:t>3. Bán tài sản và quyền thuê</w:t>
            </w:r>
          </w:p>
        </w:tc>
        <w:tc>
          <w:tcPr>
            <w:tcW w:w="4208" w:type="dxa"/>
            <w:vAlign w:val="center"/>
            <w:hideMark/>
          </w:tcPr>
          <w:p w:rsidR="00F536A6" w:rsidRDefault="00F536A6">
            <w:r>
              <w:t>50.000.000 - 100.000.000 đồng</w:t>
            </w:r>
          </w:p>
        </w:tc>
      </w:tr>
      <w:tr w:rsidR="00F536A6" w:rsidTr="00F536A6">
        <w:trPr>
          <w:tblCellSpacing w:w="15" w:type="dxa"/>
        </w:trPr>
        <w:tc>
          <w:tcPr>
            <w:tcW w:w="5053" w:type="dxa"/>
            <w:vAlign w:val="center"/>
            <w:hideMark/>
          </w:tcPr>
          <w:p w:rsidR="00F536A6" w:rsidRDefault="00F536A6">
            <w:r>
              <w:t>4. Biện pháp khắc phục</w:t>
            </w:r>
          </w:p>
        </w:tc>
        <w:tc>
          <w:tcPr>
            <w:tcW w:w="4208" w:type="dxa"/>
            <w:vAlign w:val="center"/>
            <w:hideMark/>
          </w:tcPr>
          <w:p w:rsidR="00F536A6" w:rsidRDefault="00F536A6">
            <w:r>
              <w:t>Chấm dứt hợp đồng mua bán</w:t>
            </w:r>
          </w:p>
        </w:tc>
      </w:tr>
    </w:tbl>
    <w:p w:rsidR="00F536A6" w:rsidRDefault="00F536A6" w:rsidP="00F536A6">
      <w:pPr>
        <w:pStyle w:val="Heading3"/>
      </w:pPr>
      <w:r>
        <w:t>Điều 22: Chủ đầu tư cho thuê lại đất không đúng quy định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2552"/>
        <w:gridCol w:w="2311"/>
      </w:tblGrid>
      <w:tr w:rsidR="00F536A6" w:rsidTr="00851865">
        <w:trPr>
          <w:tblHeader/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Nội dung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Diện tích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Mức xử phạt</w:t>
            </w:r>
          </w:p>
        </w:tc>
      </w:tr>
      <w:tr w:rsidR="00F536A6" w:rsidTr="00851865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pPr>
              <w:jc w:val="left"/>
            </w:pPr>
            <w:r>
              <w:t>1. Chủ đầu tư cho thuê lại đất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>
            <w:r>
              <w:t>Dưới 0,5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30.000.000 - 50.000.000 đồng</w:t>
            </w:r>
          </w:p>
        </w:tc>
      </w:tr>
      <w:tr w:rsidR="00F536A6" w:rsidTr="00851865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0,5 đến dưới 1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50.000.000 - 100.000.000 đồng</w:t>
            </w:r>
          </w:p>
        </w:tc>
      </w:tr>
      <w:tr w:rsidR="00F536A6" w:rsidTr="00851865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1 đến dưới 2 héc ta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100.000.000 - 150.000.000 đồng</w:t>
            </w:r>
          </w:p>
        </w:tc>
      </w:tr>
      <w:tr w:rsidR="00F536A6" w:rsidTr="00851865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/>
        </w:tc>
        <w:tc>
          <w:tcPr>
            <w:tcW w:w="2522" w:type="dxa"/>
            <w:vAlign w:val="center"/>
            <w:hideMark/>
          </w:tcPr>
          <w:p w:rsidR="00F536A6" w:rsidRDefault="00F536A6">
            <w:pPr>
              <w:rPr>
                <w:sz w:val="24"/>
                <w:szCs w:val="24"/>
              </w:rPr>
            </w:pPr>
            <w:r>
              <w:t>Từ 2 héc ta trở lên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>
            <w:r>
              <w:t>150.000.000 - 200.000.000 đồng</w:t>
            </w:r>
          </w:p>
        </w:tc>
      </w:tr>
      <w:tr w:rsidR="00F536A6" w:rsidTr="00851865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F536A6" w:rsidRDefault="00F536A6">
            <w:r>
              <w:t>2. Biện pháp khắc phục</w:t>
            </w:r>
          </w:p>
        </w:tc>
        <w:tc>
          <w:tcPr>
            <w:tcW w:w="2522" w:type="dxa"/>
            <w:vAlign w:val="center"/>
            <w:hideMark/>
          </w:tcPr>
          <w:p w:rsidR="00F536A6" w:rsidRDefault="00F536A6">
            <w:r>
              <w:t>Buộc ký lại hợp đồng thuê đất</w:t>
            </w:r>
          </w:p>
        </w:tc>
        <w:tc>
          <w:tcPr>
            <w:tcW w:w="2266" w:type="dxa"/>
            <w:vAlign w:val="center"/>
            <w:hideMark/>
          </w:tcPr>
          <w:p w:rsidR="00F536A6" w:rsidRDefault="00F536A6"/>
        </w:tc>
      </w:tr>
    </w:tbl>
    <w:p w:rsidR="00851865" w:rsidRDefault="00851865" w:rsidP="00851865">
      <w:pPr>
        <w:pStyle w:val="Heading3"/>
        <w:rPr>
          <w:sz w:val="27"/>
        </w:rPr>
      </w:pPr>
      <w:r>
        <w:t>Điều 23: Nhận quyền sử dụng đất không có văn bản chấp thuận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4296"/>
      </w:tblGrid>
      <w:tr w:rsidR="00851865" w:rsidTr="00851865">
        <w:trPr>
          <w:tblHeader/>
          <w:tblCellSpacing w:w="15" w:type="dxa"/>
        </w:trPr>
        <w:tc>
          <w:tcPr>
            <w:tcW w:w="5053" w:type="dxa"/>
            <w:vAlign w:val="center"/>
            <w:hideMark/>
          </w:tcPr>
          <w:p w:rsidR="00851865" w:rsidRDefault="0085186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Diện tích đất</w:t>
            </w:r>
          </w:p>
        </w:tc>
        <w:tc>
          <w:tcPr>
            <w:tcW w:w="4251" w:type="dxa"/>
            <w:vAlign w:val="center"/>
            <w:hideMark/>
          </w:tcPr>
          <w:p w:rsidR="00851865" w:rsidRDefault="0085186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Mức phạt tiền</w:t>
            </w:r>
          </w:p>
        </w:tc>
      </w:tr>
      <w:tr w:rsidR="00851865" w:rsidTr="00851865">
        <w:trPr>
          <w:tblCellSpacing w:w="15" w:type="dxa"/>
        </w:trPr>
        <w:tc>
          <w:tcPr>
            <w:tcW w:w="5053" w:type="dxa"/>
            <w:vAlign w:val="center"/>
            <w:hideMark/>
          </w:tcPr>
          <w:p w:rsidR="00851865" w:rsidRDefault="00851865">
            <w:pPr>
              <w:jc w:val="left"/>
            </w:pPr>
            <w:r>
              <w:t>Dưới 0,2 héc ta</w:t>
            </w:r>
          </w:p>
        </w:tc>
        <w:tc>
          <w:tcPr>
            <w:tcW w:w="4251" w:type="dxa"/>
            <w:vAlign w:val="center"/>
            <w:hideMark/>
          </w:tcPr>
          <w:p w:rsidR="00851865" w:rsidRDefault="00851865">
            <w:r>
              <w:t>20.000.000 - 30.000.000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5053" w:type="dxa"/>
            <w:vAlign w:val="center"/>
            <w:hideMark/>
          </w:tcPr>
          <w:p w:rsidR="00851865" w:rsidRDefault="00851865">
            <w:r>
              <w:t>Từ 0,2 héc ta đến dưới 0,5 héc ta</w:t>
            </w:r>
          </w:p>
        </w:tc>
        <w:tc>
          <w:tcPr>
            <w:tcW w:w="4251" w:type="dxa"/>
            <w:vAlign w:val="center"/>
            <w:hideMark/>
          </w:tcPr>
          <w:p w:rsidR="00851865" w:rsidRDefault="00851865">
            <w:r>
              <w:t>30.000.000 - 50.000.000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5053" w:type="dxa"/>
            <w:vAlign w:val="center"/>
            <w:hideMark/>
          </w:tcPr>
          <w:p w:rsidR="00851865" w:rsidRDefault="00851865">
            <w:r>
              <w:t>Từ 0,5 héc ta đến dưới 1 héc ta</w:t>
            </w:r>
          </w:p>
        </w:tc>
        <w:tc>
          <w:tcPr>
            <w:tcW w:w="4251" w:type="dxa"/>
            <w:vAlign w:val="center"/>
            <w:hideMark/>
          </w:tcPr>
          <w:p w:rsidR="00851865" w:rsidRDefault="00851865">
            <w:r>
              <w:t>50.000.000 - 100.000.000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5053" w:type="dxa"/>
            <w:vAlign w:val="center"/>
            <w:hideMark/>
          </w:tcPr>
          <w:p w:rsidR="00851865" w:rsidRDefault="00851865">
            <w:r>
              <w:t>Từ 1 héc ta đến dưới 2 héc ta</w:t>
            </w:r>
          </w:p>
        </w:tc>
        <w:tc>
          <w:tcPr>
            <w:tcW w:w="4251" w:type="dxa"/>
            <w:vAlign w:val="center"/>
            <w:hideMark/>
          </w:tcPr>
          <w:p w:rsidR="00851865" w:rsidRDefault="00851865">
            <w:r>
              <w:t>100.000.000 - 150.000.000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5053" w:type="dxa"/>
            <w:vAlign w:val="center"/>
            <w:hideMark/>
          </w:tcPr>
          <w:p w:rsidR="00851865" w:rsidRDefault="00851865">
            <w:r>
              <w:t>Từ 2 héc ta trở lên</w:t>
            </w:r>
          </w:p>
        </w:tc>
        <w:tc>
          <w:tcPr>
            <w:tcW w:w="4251" w:type="dxa"/>
            <w:vAlign w:val="center"/>
            <w:hideMark/>
          </w:tcPr>
          <w:p w:rsidR="00851865" w:rsidRDefault="00851865">
            <w:r>
              <w:t>150.000.000 - 200.000.000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5053" w:type="dxa"/>
            <w:vAlign w:val="center"/>
            <w:hideMark/>
          </w:tcPr>
          <w:p w:rsidR="00851865" w:rsidRDefault="00851865">
            <w:r>
              <w:rPr>
                <w:rStyle w:val="Strong"/>
              </w:rPr>
              <w:lastRenderedPageBreak/>
              <w:t>Biện pháp khắc phục</w:t>
            </w:r>
          </w:p>
        </w:tc>
        <w:tc>
          <w:tcPr>
            <w:tcW w:w="4251" w:type="dxa"/>
            <w:vAlign w:val="center"/>
            <w:hideMark/>
          </w:tcPr>
          <w:p w:rsidR="00851865" w:rsidRDefault="00851865">
            <w:r>
              <w:t>Buộc phải nộp hồ sơ xin chấp thuận của Ủy ban nhân dân cấp tỉnh.</w:t>
            </w:r>
          </w:p>
        </w:tc>
      </w:tr>
    </w:tbl>
    <w:p w:rsidR="00851865" w:rsidRDefault="00851865" w:rsidP="00851865">
      <w:pPr>
        <w:pStyle w:val="Heading3"/>
      </w:pPr>
      <w:r>
        <w:t>Điều 24: Không sử dụng đất trong thời hạn quy định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3345"/>
        <w:gridCol w:w="2048"/>
        <w:gridCol w:w="2313"/>
      </w:tblGrid>
      <w:tr w:rsidR="00851865" w:rsidTr="008518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51865" w:rsidRDefault="0085186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Loại đất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Thời gian không sử dụng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Diện tích đất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Mức phạt tiền</w:t>
            </w:r>
          </w:p>
        </w:tc>
      </w:tr>
      <w:tr w:rsidR="00851865" w:rsidTr="0085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865" w:rsidRDefault="00851865">
            <w:pPr>
              <w:jc w:val="left"/>
            </w:pPr>
            <w:r>
              <w:t>Đất trồng cây hằng năm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r>
              <w:t>12 tháng liên tục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r>
              <w:t>Dưới 0,5 héc ta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r>
              <w:t>2.000.000 - 5.000.000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865" w:rsidRDefault="00851865"/>
        </w:tc>
        <w:tc>
          <w:tcPr>
            <w:tcW w:w="0" w:type="auto"/>
            <w:vAlign w:val="center"/>
            <w:hideMark/>
          </w:tcPr>
          <w:p w:rsidR="00851865" w:rsidRDefault="008518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865" w:rsidRDefault="00851865">
            <w:pPr>
              <w:rPr>
                <w:sz w:val="24"/>
                <w:szCs w:val="24"/>
              </w:rPr>
            </w:pPr>
            <w:r>
              <w:t>Từ 0,5 héc ta đến dưới 1 héc ta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r>
              <w:t>5.000.000 - 10.000.000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865" w:rsidRDefault="00851865"/>
        </w:tc>
        <w:tc>
          <w:tcPr>
            <w:tcW w:w="0" w:type="auto"/>
            <w:vAlign w:val="center"/>
            <w:hideMark/>
          </w:tcPr>
          <w:p w:rsidR="00851865" w:rsidRDefault="008518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865" w:rsidRDefault="00851865">
            <w:pPr>
              <w:rPr>
                <w:sz w:val="24"/>
                <w:szCs w:val="24"/>
              </w:rPr>
            </w:pPr>
            <w:r>
              <w:t>Từ 1 héc ta trở lên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r>
              <w:t>10.000.000 - 20.000.000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865" w:rsidRDefault="00851865">
            <w:r>
              <w:t>Đất trồng cây lâu năm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r>
              <w:t>18 tháng liên tục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r>
              <w:t>Dưới 0,5 héc ta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r>
              <w:t>2.000.000 - 5.000.000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865" w:rsidRDefault="00851865"/>
        </w:tc>
        <w:tc>
          <w:tcPr>
            <w:tcW w:w="0" w:type="auto"/>
            <w:vAlign w:val="center"/>
            <w:hideMark/>
          </w:tcPr>
          <w:p w:rsidR="00851865" w:rsidRDefault="008518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865" w:rsidRDefault="00851865">
            <w:pPr>
              <w:rPr>
                <w:sz w:val="24"/>
                <w:szCs w:val="24"/>
              </w:rPr>
            </w:pPr>
            <w:r>
              <w:t>Từ 0,5 héc ta đến dưới 1 héc ta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r>
              <w:t>5.000.000 - 10.000.000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865" w:rsidRDefault="00851865"/>
        </w:tc>
        <w:tc>
          <w:tcPr>
            <w:tcW w:w="0" w:type="auto"/>
            <w:vAlign w:val="center"/>
            <w:hideMark/>
          </w:tcPr>
          <w:p w:rsidR="00851865" w:rsidRDefault="008518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865" w:rsidRDefault="00851865">
            <w:pPr>
              <w:rPr>
                <w:sz w:val="24"/>
                <w:szCs w:val="24"/>
              </w:rPr>
            </w:pPr>
            <w:r>
              <w:t>Từ 1 héc ta trở lên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r>
              <w:t>10.000.000 - 20.000.000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865" w:rsidRDefault="00851865">
            <w:r>
              <w:t>Đất trồng rừng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r>
              <w:t>24 tháng liên tục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r>
              <w:t>Dưới 0,5 héc ta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r>
              <w:t>3.000.000 - 5.000.000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865" w:rsidRDefault="00851865"/>
        </w:tc>
        <w:tc>
          <w:tcPr>
            <w:tcW w:w="0" w:type="auto"/>
            <w:vAlign w:val="center"/>
            <w:hideMark/>
          </w:tcPr>
          <w:p w:rsidR="00851865" w:rsidRDefault="008518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865" w:rsidRDefault="00851865">
            <w:pPr>
              <w:rPr>
                <w:sz w:val="24"/>
                <w:szCs w:val="24"/>
              </w:rPr>
            </w:pPr>
            <w:r>
              <w:t>Từ 0,5 héc ta đến dưới 1 héc ta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r>
              <w:t>5.000.000 - 10.000.000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865" w:rsidRDefault="00851865"/>
        </w:tc>
        <w:tc>
          <w:tcPr>
            <w:tcW w:w="0" w:type="auto"/>
            <w:vAlign w:val="center"/>
            <w:hideMark/>
          </w:tcPr>
          <w:p w:rsidR="00851865" w:rsidRDefault="008518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865" w:rsidRDefault="00851865">
            <w:pPr>
              <w:rPr>
                <w:sz w:val="24"/>
                <w:szCs w:val="24"/>
              </w:rPr>
            </w:pPr>
            <w:r>
              <w:t>Từ 1 héc ta trở lên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r>
              <w:t>10.000.000 - 20.000.000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865" w:rsidRDefault="00851865">
            <w:r>
              <w:rPr>
                <w:rStyle w:val="Strong"/>
              </w:rPr>
              <w:t>Biện pháp khắc phục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>
            <w:r>
              <w:t>Đưa đất vào sử dụng trong thời hạn 60 hoặc 90 ngày.</w:t>
            </w:r>
          </w:p>
        </w:tc>
        <w:tc>
          <w:tcPr>
            <w:tcW w:w="0" w:type="auto"/>
            <w:vAlign w:val="center"/>
            <w:hideMark/>
          </w:tcPr>
          <w:p w:rsidR="00851865" w:rsidRDefault="00851865"/>
        </w:tc>
        <w:tc>
          <w:tcPr>
            <w:tcW w:w="0" w:type="auto"/>
            <w:vAlign w:val="center"/>
            <w:hideMark/>
          </w:tcPr>
          <w:p w:rsidR="00851865" w:rsidRDefault="00851865">
            <w:pPr>
              <w:rPr>
                <w:sz w:val="20"/>
                <w:szCs w:val="20"/>
              </w:rPr>
            </w:pPr>
          </w:p>
        </w:tc>
      </w:tr>
    </w:tbl>
    <w:p w:rsidR="00851865" w:rsidRDefault="00851865" w:rsidP="00851865">
      <w:pPr>
        <w:pStyle w:val="Heading3"/>
        <w:rPr>
          <w:sz w:val="27"/>
          <w:szCs w:val="27"/>
        </w:rPr>
      </w:pPr>
      <w:r>
        <w:lastRenderedPageBreak/>
        <w:t>Điều 25: Không làm thủ tục chuyển sang thuê đất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851865" w:rsidTr="00851865">
        <w:trPr>
          <w:tblHeader/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Diện tích đất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Mức phạt tiền</w:t>
            </w:r>
          </w:p>
        </w:tc>
      </w:tr>
      <w:tr w:rsidR="00851865" w:rsidTr="00851865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pPr>
              <w:jc w:val="left"/>
            </w:pPr>
            <w:r>
              <w:t>Dưới 0,5 héc ta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r>
              <w:t>10.000.000 - 20.000.000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r>
              <w:t>Từ 0,5 héc ta đến dưới 1 héc ta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r>
              <w:t>20.000.000 - 30.000.000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r>
              <w:t>Từ 1 héc ta đến dưới 2 héc ta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r>
              <w:t>30.000.000 - 50.000.000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r>
              <w:t>Từ 2 héc ta trở lên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r>
              <w:t>50.000.000 - 100.000.000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r>
              <w:rPr>
                <w:rStyle w:val="Strong"/>
              </w:rPr>
              <w:t>Biện pháp khắc phục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r>
              <w:t>Buộc nộp hồ sơ để làm thủ tục chuyển sang thuê đất.</w:t>
            </w:r>
          </w:p>
        </w:tc>
      </w:tr>
    </w:tbl>
    <w:p w:rsidR="00851865" w:rsidRDefault="00851865" w:rsidP="00851865">
      <w:pPr>
        <w:pStyle w:val="Heading3"/>
      </w:pPr>
      <w:r>
        <w:t>Điều 26: Vi phạm về quản lý mốc địa giới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851865" w:rsidTr="00851865">
        <w:trPr>
          <w:tblHeader/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Hành vi vi phạm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Mức phạt tiền</w:t>
            </w:r>
          </w:p>
        </w:tc>
      </w:tr>
      <w:tr w:rsidR="00851865" w:rsidTr="00851865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pPr>
              <w:jc w:val="left"/>
            </w:pPr>
            <w:r>
              <w:t>Di chuyển, làm sai lệch mốc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r>
              <w:t>2.000.000 - 3.000.000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r>
              <w:t>Làm hư hỏng mốc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r>
              <w:t>3.000.000 - 5.000.000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r>
              <w:rPr>
                <w:rStyle w:val="Strong"/>
              </w:rPr>
              <w:t>Biện pháp khắc phục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r>
              <w:t>Khôi phục lại tình trạng ban đầu của mốc địa giới.</w:t>
            </w:r>
          </w:p>
        </w:tc>
      </w:tr>
    </w:tbl>
    <w:p w:rsidR="00851865" w:rsidRDefault="00851865" w:rsidP="00851865">
      <w:pPr>
        <w:pStyle w:val="Heading3"/>
      </w:pPr>
      <w:r>
        <w:t>Điều 27: Vi phạm về giấy tờ, chứng từ sử dụng đất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851865" w:rsidTr="00851865">
        <w:trPr>
          <w:tblHeader/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Hành vi vi phạm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Mức phạt tiền</w:t>
            </w:r>
          </w:p>
        </w:tc>
      </w:tr>
      <w:tr w:rsidR="00851865" w:rsidTr="00851865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pPr>
              <w:jc w:val="left"/>
            </w:pPr>
            <w:r>
              <w:t>Tẩy xóa, sửa chữa giấy tờ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r>
              <w:t>2.000.000 - 5.000.000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r>
              <w:t>Khai báo không trung thực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r>
              <w:t>5.000.000 - 10.000.000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r>
              <w:t>Sử dụng giấy tờ giả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r>
              <w:t>10.000.000 - 20.000.000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r>
              <w:rPr>
                <w:rStyle w:val="Strong"/>
              </w:rPr>
              <w:t>Biện pháp khắc phục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r>
              <w:t>Hủy bỏ kết quả thủ tục hành chính đã thực hiện.</w:t>
            </w:r>
          </w:p>
        </w:tc>
      </w:tr>
    </w:tbl>
    <w:p w:rsidR="00851865" w:rsidRDefault="00851865" w:rsidP="00851865">
      <w:pPr>
        <w:pStyle w:val="Heading3"/>
      </w:pPr>
      <w:r>
        <w:lastRenderedPageBreak/>
        <w:t>Điều 28: Vi phạm cung cấp thông tin đất đai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851865" w:rsidTr="00851865">
        <w:trPr>
          <w:tblHeader/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Hành vi vi phạm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Mức phạt tiền</w:t>
            </w:r>
          </w:p>
        </w:tc>
      </w:tr>
      <w:tr w:rsidR="00851865" w:rsidTr="00851865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pPr>
              <w:jc w:val="left"/>
            </w:pPr>
            <w:r>
              <w:t>Chậm cung cấp thông tin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r>
              <w:t>Cảnh cáo</w:t>
            </w:r>
          </w:p>
        </w:tc>
      </w:tr>
      <w:tr w:rsidR="00851865" w:rsidTr="00851865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r>
              <w:t>Cung cấp thông tin không chính xác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r>
              <w:t>2.000.000 - 5.000.000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r>
              <w:t>Không cung cấp thông tin sau yêu cầu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r>
              <w:t>5.000.000 - 10.000.000 đồng</w:t>
            </w:r>
          </w:p>
        </w:tc>
      </w:tr>
      <w:tr w:rsidR="00851865" w:rsidTr="00851865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r>
              <w:rPr>
                <w:rStyle w:val="Strong"/>
              </w:rPr>
              <w:t>Biện pháp khắc phục</w:t>
            </w:r>
          </w:p>
        </w:tc>
        <w:tc>
          <w:tcPr>
            <w:tcW w:w="4633" w:type="dxa"/>
            <w:vAlign w:val="center"/>
            <w:hideMark/>
          </w:tcPr>
          <w:p w:rsidR="00851865" w:rsidRDefault="00851865">
            <w:r>
              <w:t>Buộc cung cấp lại thông tin, giấy tờ liên quan.</w:t>
            </w:r>
          </w:p>
        </w:tc>
      </w:tr>
    </w:tbl>
    <w:p w:rsidR="00851865" w:rsidRDefault="00851865" w:rsidP="00851865">
      <w:pPr>
        <w:pStyle w:val="Heading3"/>
      </w:pPr>
      <w:r>
        <w:t>Điều 29: Vi phạm điều kiện hoạt động dịch vụ đất đai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721"/>
      </w:tblGrid>
      <w:tr w:rsidR="00851865" w:rsidTr="002919DD">
        <w:trPr>
          <w:tblHeader/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Hành vi vi phạm</w:t>
            </w:r>
          </w:p>
        </w:tc>
        <w:tc>
          <w:tcPr>
            <w:tcW w:w="4676" w:type="dxa"/>
            <w:vAlign w:val="center"/>
            <w:hideMark/>
          </w:tcPr>
          <w:p w:rsidR="00851865" w:rsidRDefault="0085186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Mức phạt tiền</w:t>
            </w:r>
          </w:p>
        </w:tc>
      </w:tr>
      <w:tr w:rsidR="00851865" w:rsidTr="002919DD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pPr>
              <w:jc w:val="left"/>
            </w:pPr>
            <w:r>
              <w:t>Tư vấn giá đất không đủ điều kiện</w:t>
            </w:r>
          </w:p>
        </w:tc>
        <w:tc>
          <w:tcPr>
            <w:tcW w:w="4676" w:type="dxa"/>
            <w:vAlign w:val="center"/>
            <w:hideMark/>
          </w:tcPr>
          <w:p w:rsidR="00851865" w:rsidRDefault="00851865">
            <w:r>
              <w:t>20.000.000 - 30.000.000 đồng</w:t>
            </w:r>
          </w:p>
        </w:tc>
      </w:tr>
      <w:tr w:rsidR="00851865" w:rsidTr="002919DD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r>
              <w:t>Tổ chức dịch vụ không đáp ứng điều kiện</w:t>
            </w:r>
          </w:p>
        </w:tc>
        <w:tc>
          <w:tcPr>
            <w:tcW w:w="4676" w:type="dxa"/>
            <w:vAlign w:val="center"/>
            <w:hideMark/>
          </w:tcPr>
          <w:p w:rsidR="00851865" w:rsidRDefault="00851865">
            <w:r>
              <w:t>30.000.000 - 50.000.000 đồng</w:t>
            </w:r>
          </w:p>
        </w:tc>
      </w:tr>
      <w:tr w:rsidR="00851865" w:rsidTr="002919DD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r>
              <w:t>Tổ chức hoạt động không đủ điều kiện</w:t>
            </w:r>
          </w:p>
        </w:tc>
        <w:tc>
          <w:tcPr>
            <w:tcW w:w="4676" w:type="dxa"/>
            <w:vAlign w:val="center"/>
            <w:hideMark/>
          </w:tcPr>
          <w:p w:rsidR="00851865" w:rsidRDefault="00851865">
            <w:r>
              <w:t>50.000.000 - 100.000.000 đồng</w:t>
            </w:r>
          </w:p>
        </w:tc>
      </w:tr>
      <w:tr w:rsidR="00851865" w:rsidTr="002919DD">
        <w:trPr>
          <w:tblCellSpacing w:w="15" w:type="dxa"/>
        </w:trPr>
        <w:tc>
          <w:tcPr>
            <w:tcW w:w="4628" w:type="dxa"/>
            <w:vAlign w:val="center"/>
            <w:hideMark/>
          </w:tcPr>
          <w:p w:rsidR="00851865" w:rsidRDefault="00851865">
            <w:r>
              <w:rPr>
                <w:rStyle w:val="Strong"/>
              </w:rPr>
              <w:t>Biện pháp khắc phục</w:t>
            </w:r>
          </w:p>
        </w:tc>
        <w:tc>
          <w:tcPr>
            <w:tcW w:w="4676" w:type="dxa"/>
            <w:vAlign w:val="center"/>
            <w:hideMark/>
          </w:tcPr>
          <w:p w:rsidR="00851865" w:rsidRDefault="00851865">
            <w:r>
              <w:t>Tước quyền sử dụng giấy phép, đình chỉ hoạt động.</w:t>
            </w:r>
          </w:p>
        </w:tc>
      </w:tr>
    </w:tbl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447EC"/>
    <w:multiLevelType w:val="multilevel"/>
    <w:tmpl w:val="D6A4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06"/>
    <w:rsid w:val="002919DD"/>
    <w:rsid w:val="006F23EF"/>
    <w:rsid w:val="00851865"/>
    <w:rsid w:val="00902849"/>
    <w:rsid w:val="00956A06"/>
    <w:rsid w:val="00EB5AB5"/>
    <w:rsid w:val="00F5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1520"/>
  <w15:chartTrackingRefBased/>
  <w15:docId w15:val="{84569A52-35EF-41B3-98B2-23B28FBB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956A0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6A06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A06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A06"/>
    <w:rPr>
      <w:rFonts w:asciiTheme="majorHAnsi" w:eastAsiaTheme="majorEastAsia" w:hAnsiTheme="majorHAnsi" w:cstheme="majorBidi"/>
      <w:color w:val="1F3763" w:themeColor="accent1" w:themeShade="7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9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5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8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0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6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69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9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E2A30-4E15-4684-94B0-3FF891CB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2024-10-24T01:11:00Z</dcterms:created>
  <dcterms:modified xsi:type="dcterms:W3CDTF">2024-10-24T01:25:00Z</dcterms:modified>
</cp:coreProperties>
</file>