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5596"/>
      </w:tblGrid>
      <w:tr w:rsidR="00B45D5A" w:rsidRPr="00B45D5A" w14:paraId="09093A7B" w14:textId="77777777" w:rsidTr="00B45D5A">
        <w:trPr>
          <w:trHeight w:val="1838"/>
        </w:trPr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0475E578" w14:textId="77777777" w:rsidR="00B45D5A" w:rsidRPr="00B45D5A" w:rsidRDefault="00B45D5A" w:rsidP="00B4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Trường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Tiểu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150" w:type="dxa"/>
              <w:left w:w="108" w:type="dxa"/>
              <w:bottom w:w="150" w:type="dxa"/>
              <w:right w:w="108" w:type="dxa"/>
            </w:tcMar>
            <w:vAlign w:val="center"/>
            <w:hideMark/>
          </w:tcPr>
          <w:p w14:paraId="39F0CDCA" w14:textId="77777777" w:rsidR="00B45D5A" w:rsidRPr="00B45D5A" w:rsidRDefault="00B45D5A" w:rsidP="00B4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hòa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xã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hội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nghĩa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Việt Nam</w:t>
            </w:r>
          </w:p>
          <w:p w14:paraId="661383C4" w14:textId="77777777" w:rsidR="00B45D5A" w:rsidRPr="00B45D5A" w:rsidRDefault="00B45D5A" w:rsidP="00B4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–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15B2D7B0" w14:textId="77777777" w:rsidR="00B45D5A" w:rsidRPr="00B45D5A" w:rsidRDefault="00B45D5A" w:rsidP="00B45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…………,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…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tháng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… </w:t>
            </w:r>
            <w:proofErr w:type="spellStart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B45D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20..</w:t>
            </w:r>
            <w:r w:rsidRPr="00B45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15355C" w14:textId="77777777" w:rsidR="00B45D5A" w:rsidRPr="00B45D5A" w:rsidRDefault="00B45D5A" w:rsidP="00B45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b/>
          <w:bCs/>
          <w:sz w:val="28"/>
          <w:szCs w:val="28"/>
        </w:rPr>
        <w:t>ĐIỀU LỆ TRƯỜNG TIỂU HỌC</w:t>
      </w:r>
    </w:p>
    <w:p w14:paraId="42ACD87F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quản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</w:p>
    <w:p w14:paraId="7BFA6450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1.1. Trường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Hiệu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Hiệu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. 1.2. Ban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. 1.3. Ban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Đào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4FE74BA5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dục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đào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tạo</w:t>
      </w:r>
      <w:proofErr w:type="spellEnd"/>
    </w:p>
    <w:p w14:paraId="774DD912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2.1. Trường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Đào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008D8978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2.2. Trường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50DF72DF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2.3. Trường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2746AA48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3: Quy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</w:p>
    <w:p w14:paraId="5CFF6638" w14:textId="56466D84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3.1. Trường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4D0158EC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47BD22C3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3.3. Trường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3DEB6230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4: Tài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chính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sản</w:t>
      </w:r>
      <w:proofErr w:type="spellEnd"/>
    </w:p>
    <w:p w14:paraId="0A22B2FE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4.1. Trường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70396ECC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665C6E9C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4.3. Trường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030C4319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Chương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5: Các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cuối</w:t>
      </w:r>
      <w:proofErr w:type="spellEnd"/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cùng</w:t>
      </w:r>
      <w:proofErr w:type="spellEnd"/>
    </w:p>
    <w:p w14:paraId="0876C331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4F2AEF9E" w14:textId="77777777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5.2. Trường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Đào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3D374F70" w14:textId="10BCCD0E" w:rsidR="00B45D5A" w:rsidRPr="00B45D5A" w:rsidRDefault="00B45D5A" w:rsidP="00B45D5A">
      <w:pPr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web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.</w:t>
      </w:r>
    </w:p>
    <w:p w14:paraId="0DEF5E72" w14:textId="36134F61" w:rsidR="00B45D5A" w:rsidRPr="00B45D5A" w:rsidRDefault="00B45D5A" w:rsidP="00B45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b/>
          <w:bCs/>
          <w:sz w:val="28"/>
          <w:szCs w:val="28"/>
        </w:rPr>
        <w:t xml:space="preserve">Hiệu </w:t>
      </w:r>
      <w:proofErr w:type="spellStart"/>
      <w:r w:rsidRPr="00B45D5A">
        <w:rPr>
          <w:rFonts w:ascii="Times New Roman" w:hAnsi="Times New Roman" w:cs="Times New Roman"/>
          <w:b/>
          <w:bCs/>
          <w:sz w:val="28"/>
          <w:szCs w:val="28"/>
        </w:rPr>
        <w:t>trưởng</w:t>
      </w:r>
      <w:proofErr w:type="spellEnd"/>
    </w:p>
    <w:p w14:paraId="3306FE53" w14:textId="77777777" w:rsidR="00B45D5A" w:rsidRPr="00B45D5A" w:rsidRDefault="00B45D5A" w:rsidP="00B45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5D5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5D5A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45D5A">
        <w:rPr>
          <w:rFonts w:ascii="Times New Roman" w:hAnsi="Times New Roman" w:cs="Times New Roman"/>
          <w:sz w:val="28"/>
          <w:szCs w:val="28"/>
        </w:rPr>
        <w:t>)</w:t>
      </w:r>
    </w:p>
    <w:p w14:paraId="33C2F8BB" w14:textId="77777777" w:rsidR="00EE6245" w:rsidRPr="00B45D5A" w:rsidRDefault="00EE6245">
      <w:pPr>
        <w:rPr>
          <w:rFonts w:ascii="Times New Roman" w:hAnsi="Times New Roman" w:cs="Times New Roman"/>
          <w:sz w:val="28"/>
          <w:szCs w:val="28"/>
        </w:rPr>
      </w:pPr>
    </w:p>
    <w:sectPr w:rsidR="00EE6245" w:rsidRPr="00B45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5A"/>
    <w:rsid w:val="00734F20"/>
    <w:rsid w:val="00B45D5A"/>
    <w:rsid w:val="00D8072B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E3AE8"/>
  <w15:chartTrackingRefBased/>
  <w15:docId w15:val="{15CBA927-A70D-43CF-9A25-0FEF0597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D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2024-07-30T04:26:00Z</dcterms:created>
  <dcterms:modified xsi:type="dcterms:W3CDTF">2024-07-30T04:27:00Z</dcterms:modified>
</cp:coreProperties>
</file>