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50" w:type="dxa"/>
        <w:tblCellMar>
          <w:top w:w="15" w:type="dxa"/>
          <w:left w:w="15" w:type="dxa"/>
          <w:bottom w:w="15" w:type="dxa"/>
          <w:right w:w="15" w:type="dxa"/>
        </w:tblCellMar>
        <w:tblLook w:val="04A0" w:firstRow="1" w:lastRow="0" w:firstColumn="1" w:lastColumn="0" w:noHBand="0" w:noVBand="1"/>
      </w:tblPr>
      <w:tblGrid>
        <w:gridCol w:w="3351"/>
        <w:gridCol w:w="8199"/>
      </w:tblGrid>
      <w:tr w:rsidR="00F37DA1" w:rsidRPr="00F37DA1" w14:paraId="7529330B" w14:textId="77777777" w:rsidTr="00F37DA1">
        <w:trPr>
          <w:trHeight w:val="1407"/>
        </w:trPr>
        <w:tc>
          <w:tcPr>
            <w:tcW w:w="0" w:type="auto"/>
            <w:tcMar>
              <w:top w:w="72" w:type="dxa"/>
              <w:left w:w="72" w:type="dxa"/>
              <w:bottom w:w="72" w:type="dxa"/>
              <w:right w:w="72" w:type="dxa"/>
            </w:tcMar>
            <w:vAlign w:val="center"/>
            <w:hideMark/>
          </w:tcPr>
          <w:p w14:paraId="2958B9D6" w14:textId="77777777" w:rsidR="00F37DA1" w:rsidRPr="00F37DA1" w:rsidRDefault="00F37DA1" w:rsidP="00F37DA1">
            <w:pPr>
              <w:spacing w:before="100" w:beforeAutospacing="1" w:after="360" w:line="240" w:lineRule="auto"/>
              <w:jc w:val="both"/>
              <w:rPr>
                <w:rFonts w:eastAsia="Times New Roman" w:cs="Times New Roman"/>
                <w:szCs w:val="28"/>
              </w:rPr>
            </w:pPr>
            <w:r w:rsidRPr="00F37DA1">
              <w:rPr>
                <w:rFonts w:eastAsia="Times New Roman" w:cs="Times New Roman"/>
                <w:b/>
                <w:bCs/>
                <w:szCs w:val="28"/>
              </w:rPr>
              <w:t>CÔNG TY: ………</w:t>
            </w:r>
          </w:p>
          <w:p w14:paraId="4BDE1963" w14:textId="77777777" w:rsidR="00F37DA1" w:rsidRPr="00F37DA1" w:rsidRDefault="00F37DA1" w:rsidP="00F37DA1">
            <w:pPr>
              <w:spacing w:before="100" w:beforeAutospacing="1" w:after="360" w:line="240" w:lineRule="auto"/>
              <w:jc w:val="both"/>
              <w:rPr>
                <w:rFonts w:eastAsia="Times New Roman" w:cs="Times New Roman"/>
                <w:szCs w:val="28"/>
              </w:rPr>
            </w:pPr>
            <w:r w:rsidRPr="00F37DA1">
              <w:rPr>
                <w:rFonts w:eastAsia="Times New Roman" w:cs="Times New Roman"/>
                <w:b/>
                <w:bCs/>
                <w:szCs w:val="28"/>
              </w:rPr>
              <w:t>PHÒNG: ………</w:t>
            </w:r>
          </w:p>
        </w:tc>
        <w:tc>
          <w:tcPr>
            <w:tcW w:w="0" w:type="auto"/>
            <w:tcMar>
              <w:top w:w="72" w:type="dxa"/>
              <w:left w:w="72" w:type="dxa"/>
              <w:bottom w:w="72" w:type="dxa"/>
              <w:right w:w="72" w:type="dxa"/>
            </w:tcMar>
            <w:vAlign w:val="center"/>
            <w:hideMark/>
          </w:tcPr>
          <w:p w14:paraId="2280D238" w14:textId="77777777" w:rsidR="00F37DA1" w:rsidRPr="00F37DA1" w:rsidRDefault="00F37DA1" w:rsidP="00F37DA1">
            <w:pPr>
              <w:spacing w:before="100" w:beforeAutospacing="1" w:after="360" w:line="240" w:lineRule="auto"/>
              <w:jc w:val="both"/>
              <w:rPr>
                <w:rFonts w:eastAsia="Times New Roman" w:cs="Times New Roman"/>
                <w:szCs w:val="28"/>
              </w:rPr>
            </w:pPr>
            <w:r w:rsidRPr="00F37DA1">
              <w:rPr>
                <w:rFonts w:eastAsia="Times New Roman" w:cs="Times New Roman"/>
                <w:b/>
                <w:bCs/>
                <w:szCs w:val="28"/>
              </w:rPr>
              <w:t>CỘNG HÒA XÃ HỘI CHỦ NGHĨA VIỆT NAM</w:t>
            </w:r>
          </w:p>
          <w:p w14:paraId="430D6D5C" w14:textId="77777777" w:rsidR="00F37DA1" w:rsidRPr="00F37DA1" w:rsidRDefault="00F37DA1" w:rsidP="00F37DA1">
            <w:pPr>
              <w:spacing w:before="100" w:beforeAutospacing="1" w:after="360" w:line="240" w:lineRule="auto"/>
              <w:jc w:val="both"/>
              <w:rPr>
                <w:rFonts w:eastAsia="Times New Roman" w:cs="Times New Roman"/>
                <w:szCs w:val="28"/>
              </w:rPr>
            </w:pPr>
            <w:r w:rsidRPr="00F37DA1">
              <w:rPr>
                <w:rFonts w:eastAsia="Times New Roman" w:cs="Times New Roman"/>
                <w:b/>
                <w:bCs/>
                <w:szCs w:val="28"/>
              </w:rPr>
              <w:t>Độc lập – Tự do – Hạnh phúc</w:t>
            </w:r>
          </w:p>
        </w:tc>
      </w:tr>
    </w:tbl>
    <w:p w14:paraId="489817EB" w14:textId="77777777" w:rsidR="00F37DA1" w:rsidRPr="00F37DA1" w:rsidRDefault="00F37DA1" w:rsidP="00F37DA1">
      <w:pPr>
        <w:shd w:val="clear" w:color="auto" w:fill="FFFFFF"/>
        <w:spacing w:before="100" w:beforeAutospacing="1" w:after="360" w:line="240" w:lineRule="auto"/>
        <w:jc w:val="center"/>
        <w:rPr>
          <w:rFonts w:eastAsia="Times New Roman" w:cs="Times New Roman"/>
          <w:color w:val="000000"/>
          <w:szCs w:val="28"/>
        </w:rPr>
      </w:pPr>
      <w:r w:rsidRPr="00F37DA1">
        <w:rPr>
          <w:rFonts w:eastAsia="Times New Roman" w:cs="Times New Roman"/>
          <w:b/>
          <w:bCs/>
          <w:color w:val="000000"/>
          <w:szCs w:val="28"/>
        </w:rPr>
        <w:t>BẢN CAM KẾT</w:t>
      </w:r>
    </w:p>
    <w:p w14:paraId="0DDA7402" w14:textId="77777777" w:rsidR="00F37DA1" w:rsidRPr="00F37DA1" w:rsidRDefault="00F37DA1" w:rsidP="00F37DA1">
      <w:pPr>
        <w:shd w:val="clear" w:color="auto" w:fill="FFFFFF"/>
        <w:spacing w:before="100" w:beforeAutospacing="1" w:after="360" w:line="240" w:lineRule="auto"/>
        <w:jc w:val="both"/>
        <w:rPr>
          <w:rFonts w:eastAsia="Times New Roman" w:cs="Times New Roman"/>
          <w:color w:val="000000"/>
          <w:szCs w:val="28"/>
        </w:rPr>
      </w:pPr>
      <w:r w:rsidRPr="00F37DA1">
        <w:rPr>
          <w:rFonts w:eastAsia="Times New Roman" w:cs="Times New Roman"/>
          <w:color w:val="000000"/>
          <w:szCs w:val="28"/>
        </w:rPr>
        <w:t>Kính gửi: Ban Tổng Giám Đốc công ty …………</w:t>
      </w:r>
    </w:p>
    <w:p w14:paraId="10A117D8" w14:textId="77777777" w:rsidR="00F37DA1" w:rsidRPr="00F37DA1" w:rsidRDefault="00F37DA1" w:rsidP="00F37DA1">
      <w:pPr>
        <w:shd w:val="clear" w:color="auto" w:fill="FFFFFF"/>
        <w:spacing w:before="100" w:beforeAutospacing="1" w:after="360" w:line="240" w:lineRule="auto"/>
        <w:jc w:val="both"/>
        <w:rPr>
          <w:rFonts w:eastAsia="Times New Roman" w:cs="Times New Roman"/>
          <w:color w:val="000000"/>
          <w:szCs w:val="28"/>
        </w:rPr>
      </w:pPr>
      <w:r w:rsidRPr="00F37DA1">
        <w:rPr>
          <w:rFonts w:eastAsia="Times New Roman" w:cs="Times New Roman"/>
          <w:color w:val="000000"/>
          <w:szCs w:val="28"/>
        </w:rPr>
        <w:t>Tôi tên: ……… Sinh ngày …….. tháng ………. năm …………..</w:t>
      </w:r>
    </w:p>
    <w:p w14:paraId="0F1C65E8" w14:textId="77777777" w:rsidR="00F37DA1" w:rsidRPr="00F37DA1" w:rsidRDefault="00F37DA1" w:rsidP="00F37DA1">
      <w:pPr>
        <w:shd w:val="clear" w:color="auto" w:fill="FFFFFF"/>
        <w:spacing w:before="100" w:beforeAutospacing="1" w:after="360" w:line="240" w:lineRule="auto"/>
        <w:jc w:val="both"/>
        <w:rPr>
          <w:rFonts w:eastAsia="Times New Roman" w:cs="Times New Roman"/>
          <w:color w:val="000000"/>
          <w:szCs w:val="28"/>
        </w:rPr>
      </w:pPr>
      <w:r w:rsidRPr="00F37DA1">
        <w:rPr>
          <w:rFonts w:eastAsia="Times New Roman" w:cs="Times New Roman"/>
          <w:color w:val="000000"/>
          <w:szCs w:val="28"/>
        </w:rPr>
        <w:t>Địa chỉ tạm trú: ………. Điện thoại: …………</w:t>
      </w:r>
    </w:p>
    <w:p w14:paraId="4F7E1DBE" w14:textId="77777777" w:rsidR="00F37DA1" w:rsidRPr="00F37DA1" w:rsidRDefault="00F37DA1" w:rsidP="00F37DA1">
      <w:pPr>
        <w:shd w:val="clear" w:color="auto" w:fill="FFFFFF"/>
        <w:spacing w:before="100" w:beforeAutospacing="1" w:after="360" w:line="240" w:lineRule="auto"/>
        <w:jc w:val="both"/>
        <w:rPr>
          <w:rFonts w:eastAsia="Times New Roman" w:cs="Times New Roman"/>
          <w:color w:val="000000"/>
          <w:szCs w:val="28"/>
        </w:rPr>
      </w:pPr>
      <w:r w:rsidRPr="00F37DA1">
        <w:rPr>
          <w:rFonts w:eastAsia="Times New Roman" w:cs="Times New Roman"/>
          <w:color w:val="000000"/>
          <w:szCs w:val="28"/>
        </w:rPr>
        <w:t>Địa chỉ thường trú: …………</w:t>
      </w:r>
    </w:p>
    <w:p w14:paraId="3447DF29" w14:textId="77777777" w:rsidR="00F37DA1" w:rsidRPr="00F37DA1" w:rsidRDefault="00F37DA1" w:rsidP="00F37DA1">
      <w:pPr>
        <w:shd w:val="clear" w:color="auto" w:fill="FFFFFF"/>
        <w:spacing w:before="100" w:beforeAutospacing="1" w:after="360" w:line="240" w:lineRule="auto"/>
        <w:jc w:val="both"/>
        <w:rPr>
          <w:rFonts w:eastAsia="Times New Roman" w:cs="Times New Roman"/>
          <w:color w:val="000000"/>
          <w:szCs w:val="28"/>
        </w:rPr>
      </w:pPr>
      <w:r w:rsidRPr="00F37DA1">
        <w:rPr>
          <w:rFonts w:eastAsia="Times New Roman" w:cs="Times New Roman"/>
          <w:color w:val="000000"/>
          <w:szCs w:val="28"/>
        </w:rPr>
        <w:t>Số CMND: ……… Cấp ngày ……… tháng …….. năm ……… Tại:………</w:t>
      </w:r>
    </w:p>
    <w:p w14:paraId="4448F944" w14:textId="77777777" w:rsidR="00F37DA1" w:rsidRPr="00F37DA1" w:rsidRDefault="00F37DA1" w:rsidP="00F37DA1">
      <w:pPr>
        <w:shd w:val="clear" w:color="auto" w:fill="FFFFFF"/>
        <w:spacing w:before="100" w:beforeAutospacing="1" w:after="360" w:line="240" w:lineRule="auto"/>
        <w:jc w:val="both"/>
        <w:rPr>
          <w:rFonts w:eastAsia="Times New Roman" w:cs="Times New Roman"/>
          <w:color w:val="000000"/>
          <w:szCs w:val="28"/>
        </w:rPr>
      </w:pPr>
      <w:r w:rsidRPr="00F37DA1">
        <w:rPr>
          <w:rFonts w:eastAsia="Times New Roman" w:cs="Times New Roman"/>
          <w:color w:val="000000"/>
          <w:szCs w:val="28"/>
        </w:rPr>
        <w:t>Qua trao đổi với phòng Nhân sự Công ty ………. về các thủ tục trước khi nhận việc tại Công ty.</w:t>
      </w:r>
    </w:p>
    <w:p w14:paraId="3E8F8995" w14:textId="77777777" w:rsidR="00F37DA1" w:rsidRPr="00F37DA1" w:rsidRDefault="00F37DA1" w:rsidP="00F37DA1">
      <w:pPr>
        <w:shd w:val="clear" w:color="auto" w:fill="FFFFFF"/>
        <w:spacing w:before="100" w:beforeAutospacing="1" w:after="360" w:line="240" w:lineRule="auto"/>
        <w:jc w:val="both"/>
        <w:rPr>
          <w:rFonts w:eastAsia="Times New Roman" w:cs="Times New Roman"/>
          <w:color w:val="000000"/>
          <w:szCs w:val="28"/>
        </w:rPr>
      </w:pPr>
      <w:r w:rsidRPr="00F37DA1">
        <w:rPr>
          <w:rFonts w:eastAsia="Times New Roman" w:cs="Times New Roman"/>
          <w:color w:val="000000"/>
          <w:szCs w:val="28"/>
        </w:rPr>
        <w:t>Tôi xin cam kết thực hiện đúng những quy định sau với chức danh: …………</w:t>
      </w:r>
    </w:p>
    <w:p w14:paraId="239DF7D7" w14:textId="77777777" w:rsidR="00F37DA1" w:rsidRPr="00F37DA1" w:rsidRDefault="00F37DA1" w:rsidP="00F37DA1">
      <w:pPr>
        <w:shd w:val="clear" w:color="auto" w:fill="FFFFFF"/>
        <w:spacing w:before="100" w:beforeAutospacing="1" w:after="360" w:line="240" w:lineRule="auto"/>
        <w:jc w:val="both"/>
        <w:rPr>
          <w:rFonts w:eastAsia="Times New Roman" w:cs="Times New Roman"/>
          <w:color w:val="000000"/>
          <w:szCs w:val="28"/>
        </w:rPr>
      </w:pPr>
      <w:r w:rsidRPr="00F37DA1">
        <w:rPr>
          <w:rFonts w:eastAsia="Times New Roman" w:cs="Times New Roman"/>
          <w:color w:val="000000"/>
          <w:szCs w:val="28"/>
        </w:rPr>
        <w:t>thuộc bộ phận: ………Mức lương: …………</w:t>
      </w:r>
    </w:p>
    <w:p w14:paraId="7E39BD5B" w14:textId="77777777" w:rsidR="00F37DA1" w:rsidRPr="00F37DA1" w:rsidRDefault="00F37DA1" w:rsidP="00F37DA1">
      <w:pPr>
        <w:shd w:val="clear" w:color="auto" w:fill="FFFFFF"/>
        <w:spacing w:before="100" w:beforeAutospacing="1" w:after="360" w:line="240" w:lineRule="auto"/>
        <w:jc w:val="both"/>
        <w:rPr>
          <w:rFonts w:eastAsia="Times New Roman" w:cs="Times New Roman"/>
          <w:color w:val="000000"/>
          <w:szCs w:val="28"/>
        </w:rPr>
      </w:pPr>
      <w:r w:rsidRPr="00F37DA1">
        <w:rPr>
          <w:rFonts w:eastAsia="Times New Roman" w:cs="Times New Roman"/>
          <w:color w:val="000000"/>
          <w:szCs w:val="28"/>
        </w:rPr>
        <w:t>– Đọc, hiểu và chấp hành đúng nội qui, quy chế của Công ty đề ra. Tuyệt đối tuân thủ theo sự phân công, bố trí công việc của Công ty.</w:t>
      </w:r>
    </w:p>
    <w:p w14:paraId="002C32FB" w14:textId="77777777" w:rsidR="00F37DA1" w:rsidRPr="00F37DA1" w:rsidRDefault="00F37DA1" w:rsidP="00F37DA1">
      <w:pPr>
        <w:pStyle w:val="NormalWeb"/>
        <w:shd w:val="clear" w:color="auto" w:fill="FFFFFF"/>
        <w:spacing w:after="360" w:afterAutospacing="0"/>
        <w:jc w:val="both"/>
        <w:rPr>
          <w:color w:val="000000"/>
          <w:sz w:val="28"/>
          <w:szCs w:val="28"/>
        </w:rPr>
      </w:pPr>
      <w:r w:rsidRPr="00F37DA1">
        <w:rPr>
          <w:color w:val="000000"/>
          <w:sz w:val="28"/>
          <w:szCs w:val="28"/>
        </w:rPr>
        <w:t>– Tất cả các hồ sơ, văn bằng, chứng chỉ liên quan tôi đã nộp đều có chứng nhận của các cơ quan chức năng. Nếu bị Công ty đối chiếu và phát hiện ra sự gian dối, tôi hoàn toàn chịu trách nhiệm và chấp thuận buộc thôi việc dù bất cứ thời gian nào.</w:t>
      </w:r>
    </w:p>
    <w:p w14:paraId="3AAC7B09" w14:textId="77777777" w:rsidR="00F37DA1" w:rsidRPr="00F37DA1" w:rsidRDefault="00F37DA1" w:rsidP="00F37DA1">
      <w:pPr>
        <w:pStyle w:val="NormalWeb"/>
        <w:shd w:val="clear" w:color="auto" w:fill="FFFFFF"/>
        <w:spacing w:after="360" w:afterAutospacing="0"/>
        <w:jc w:val="both"/>
        <w:rPr>
          <w:color w:val="000000"/>
          <w:sz w:val="28"/>
          <w:szCs w:val="28"/>
        </w:rPr>
      </w:pPr>
      <w:r w:rsidRPr="00F37DA1">
        <w:rPr>
          <w:color w:val="000000"/>
          <w:sz w:val="28"/>
          <w:szCs w:val="28"/>
        </w:rPr>
        <w:t>– Không hút thuốc tại nơi làm việc, khu vực phân xưởng sản xuất.</w:t>
      </w:r>
    </w:p>
    <w:p w14:paraId="05F8D66D" w14:textId="77777777" w:rsidR="00F37DA1" w:rsidRPr="00F37DA1" w:rsidRDefault="00F37DA1" w:rsidP="00F37DA1">
      <w:pPr>
        <w:pStyle w:val="NormalWeb"/>
        <w:shd w:val="clear" w:color="auto" w:fill="FFFFFF"/>
        <w:spacing w:after="360" w:afterAutospacing="0"/>
        <w:jc w:val="both"/>
        <w:rPr>
          <w:color w:val="000000"/>
          <w:sz w:val="28"/>
          <w:szCs w:val="28"/>
        </w:rPr>
      </w:pPr>
      <w:r w:rsidRPr="00F37DA1">
        <w:rPr>
          <w:color w:val="000000"/>
          <w:sz w:val="28"/>
          <w:szCs w:val="28"/>
        </w:rPr>
        <w:t>– Không uống rượu bia hoặc chất kích thích trước và trong giờ làm việc.</w:t>
      </w:r>
    </w:p>
    <w:p w14:paraId="3646C068" w14:textId="77777777" w:rsidR="00F37DA1" w:rsidRPr="00F37DA1" w:rsidRDefault="00F37DA1" w:rsidP="00F37DA1">
      <w:pPr>
        <w:pStyle w:val="NormalWeb"/>
        <w:shd w:val="clear" w:color="auto" w:fill="FFFFFF"/>
        <w:spacing w:after="360" w:afterAutospacing="0"/>
        <w:jc w:val="both"/>
        <w:rPr>
          <w:color w:val="000000"/>
          <w:sz w:val="28"/>
          <w:szCs w:val="28"/>
        </w:rPr>
      </w:pPr>
      <w:r w:rsidRPr="00F37DA1">
        <w:rPr>
          <w:color w:val="000000"/>
          <w:sz w:val="28"/>
          <w:szCs w:val="28"/>
        </w:rPr>
        <w:t>– Không tổ chức gây gỗ, đánh nhau trong và ngoài công ty.</w:t>
      </w:r>
    </w:p>
    <w:p w14:paraId="53502115" w14:textId="77777777" w:rsidR="00F37DA1" w:rsidRPr="00F37DA1" w:rsidRDefault="00F37DA1" w:rsidP="00F37DA1">
      <w:pPr>
        <w:pStyle w:val="NormalWeb"/>
        <w:shd w:val="clear" w:color="auto" w:fill="FFFFFF"/>
        <w:spacing w:after="360" w:afterAutospacing="0"/>
        <w:jc w:val="both"/>
        <w:rPr>
          <w:color w:val="000000"/>
          <w:sz w:val="28"/>
          <w:szCs w:val="28"/>
        </w:rPr>
      </w:pPr>
      <w:r w:rsidRPr="00F37DA1">
        <w:rPr>
          <w:color w:val="000000"/>
          <w:sz w:val="28"/>
          <w:szCs w:val="28"/>
        </w:rPr>
        <w:lastRenderedPageBreak/>
        <w:t>– Không được bấm thẻ hộ cho các đồng nghiệp khác. Phải bấm thẻ khi ra vào làm việc tại công ty.</w:t>
      </w:r>
    </w:p>
    <w:p w14:paraId="44121186" w14:textId="77777777" w:rsidR="00F37DA1" w:rsidRPr="00F37DA1" w:rsidRDefault="00F37DA1" w:rsidP="00F37DA1">
      <w:pPr>
        <w:pStyle w:val="NormalWeb"/>
        <w:shd w:val="clear" w:color="auto" w:fill="FFFFFF"/>
        <w:spacing w:after="360" w:afterAutospacing="0"/>
        <w:jc w:val="both"/>
        <w:rPr>
          <w:color w:val="000000"/>
          <w:sz w:val="28"/>
          <w:szCs w:val="28"/>
        </w:rPr>
      </w:pPr>
      <w:r w:rsidRPr="00F37DA1">
        <w:rPr>
          <w:color w:val="000000"/>
          <w:sz w:val="28"/>
          <w:szCs w:val="28"/>
        </w:rPr>
        <w:t>– Không mang bánh kẹo hay bất cứ tài sản nào khác ra khỏi công ty.</w:t>
      </w:r>
    </w:p>
    <w:p w14:paraId="043714EE" w14:textId="77777777" w:rsidR="00F37DA1" w:rsidRPr="00F37DA1" w:rsidRDefault="00F37DA1" w:rsidP="00F37DA1">
      <w:pPr>
        <w:pStyle w:val="NormalWeb"/>
        <w:shd w:val="clear" w:color="auto" w:fill="FFFFFF"/>
        <w:spacing w:after="360" w:afterAutospacing="0"/>
        <w:jc w:val="both"/>
        <w:rPr>
          <w:color w:val="000000"/>
          <w:sz w:val="28"/>
          <w:szCs w:val="28"/>
        </w:rPr>
      </w:pPr>
      <w:r w:rsidRPr="00F37DA1">
        <w:rPr>
          <w:color w:val="000000"/>
          <w:sz w:val="28"/>
          <w:szCs w:val="28"/>
        </w:rPr>
        <w:t>– Không đi muộn về sớm, không vắng mặt mà chưa được sự đồng ý chấp nhận của cấp quản lý. Không nghỉ không phép 5 ngày cộng dồn trong tháng hoặc 20 ngày cộng dồn trong 1 năm.</w:t>
      </w:r>
    </w:p>
    <w:p w14:paraId="502A9A5E" w14:textId="77777777" w:rsidR="00F37DA1" w:rsidRPr="00F37DA1" w:rsidRDefault="00F37DA1" w:rsidP="00F37DA1">
      <w:pPr>
        <w:pStyle w:val="NormalWeb"/>
        <w:shd w:val="clear" w:color="auto" w:fill="FFFFFF"/>
        <w:spacing w:after="360" w:afterAutospacing="0"/>
        <w:jc w:val="both"/>
        <w:rPr>
          <w:color w:val="000000"/>
          <w:sz w:val="28"/>
          <w:szCs w:val="28"/>
        </w:rPr>
      </w:pPr>
      <w:r w:rsidRPr="00F37DA1">
        <w:rPr>
          <w:color w:val="000000"/>
          <w:sz w:val="28"/>
          <w:szCs w:val="28"/>
        </w:rPr>
        <w:t>– Trong giờ làm việc không tự ý bỏ vị trí làm việc, luôn túc trực thường xưyên tại vi trí phân công và cố gắng hoàn thành nhiệm vụ được giao.</w:t>
      </w:r>
    </w:p>
    <w:p w14:paraId="0D70F2ED" w14:textId="77777777" w:rsidR="00F37DA1" w:rsidRPr="00F37DA1" w:rsidRDefault="00F37DA1" w:rsidP="00F37DA1">
      <w:pPr>
        <w:pStyle w:val="NormalWeb"/>
        <w:shd w:val="clear" w:color="auto" w:fill="FFFFFF"/>
        <w:spacing w:after="360" w:afterAutospacing="0"/>
        <w:jc w:val="both"/>
        <w:rPr>
          <w:color w:val="000000"/>
          <w:sz w:val="28"/>
          <w:szCs w:val="28"/>
        </w:rPr>
      </w:pPr>
      <w:r w:rsidRPr="00F37DA1">
        <w:rPr>
          <w:color w:val="000000"/>
          <w:sz w:val="28"/>
          <w:szCs w:val="28"/>
        </w:rPr>
        <w:t>– Không mang vũ khí, hóa chất độc hại, chất dễ cháy vào công ty.</w:t>
      </w:r>
    </w:p>
    <w:p w14:paraId="41241B5B" w14:textId="77777777" w:rsidR="00F37DA1" w:rsidRPr="00F37DA1" w:rsidRDefault="00F37DA1" w:rsidP="00F37DA1">
      <w:pPr>
        <w:pStyle w:val="NormalWeb"/>
        <w:shd w:val="clear" w:color="auto" w:fill="FFFFFF"/>
        <w:spacing w:after="360" w:afterAutospacing="0"/>
        <w:jc w:val="both"/>
        <w:rPr>
          <w:color w:val="000000"/>
          <w:sz w:val="28"/>
          <w:szCs w:val="28"/>
        </w:rPr>
      </w:pPr>
      <w:r w:rsidRPr="00F37DA1">
        <w:rPr>
          <w:color w:val="000000"/>
          <w:sz w:val="28"/>
          <w:szCs w:val="28"/>
        </w:rPr>
        <w:t>– Trong thời gian 1 tuần học việc tại công ty (tính từ ngày nhận việc), nếu tôi xin nghỉ hoặc tự ý bỏ việc thì sẽ không được tính công, trả lương.</w:t>
      </w:r>
    </w:p>
    <w:p w14:paraId="213A40CF" w14:textId="77777777" w:rsidR="00F37DA1" w:rsidRPr="00F37DA1" w:rsidRDefault="00F37DA1" w:rsidP="00F37DA1">
      <w:pPr>
        <w:pStyle w:val="NormalWeb"/>
        <w:shd w:val="clear" w:color="auto" w:fill="FFFFFF"/>
        <w:spacing w:after="360" w:afterAutospacing="0"/>
        <w:jc w:val="both"/>
        <w:rPr>
          <w:color w:val="000000"/>
          <w:sz w:val="28"/>
          <w:szCs w:val="28"/>
        </w:rPr>
      </w:pPr>
      <w:r w:rsidRPr="00F37DA1">
        <w:rPr>
          <w:color w:val="000000"/>
          <w:sz w:val="28"/>
          <w:szCs w:val="28"/>
        </w:rPr>
        <w:t>– Trong thời gian làm việc tại Công ty phải mặc đồng phục, đội nón, mang thẻ tên, mang khẩu trang, cắt ngắn móng tay, không đeo nữ trang, đồng hồ.</w:t>
      </w:r>
    </w:p>
    <w:p w14:paraId="52D51B5E" w14:textId="77777777" w:rsidR="00F37DA1" w:rsidRPr="00F37DA1" w:rsidRDefault="00F37DA1" w:rsidP="00F37DA1">
      <w:pPr>
        <w:pStyle w:val="NormalWeb"/>
        <w:shd w:val="clear" w:color="auto" w:fill="FFFFFF"/>
        <w:spacing w:after="360" w:afterAutospacing="0"/>
        <w:jc w:val="both"/>
        <w:rPr>
          <w:color w:val="000000"/>
          <w:sz w:val="28"/>
          <w:szCs w:val="28"/>
        </w:rPr>
      </w:pPr>
      <w:r w:rsidRPr="00F37DA1">
        <w:rPr>
          <w:color w:val="000000"/>
          <w:sz w:val="28"/>
          <w:szCs w:val="28"/>
        </w:rPr>
        <w:t>– Nếu công ty xét thấy thời gian thử việc không đạt yêu cầu thì sẽ thông báo cho thôi việc bất kỳ lúc nào hoặc nếu hết hạn thử việc nhưng do tình hình thay đổi, tạm thời chưa tuyển dụng chính thức, sẽ tình nguyện nghỉ việc mà không đòi hỏi bất cứ khoản phụ cấp nào.</w:t>
      </w:r>
    </w:p>
    <w:p w14:paraId="5487BAA4" w14:textId="77777777" w:rsidR="00F37DA1" w:rsidRPr="00F37DA1" w:rsidRDefault="00F37DA1" w:rsidP="00F37DA1">
      <w:pPr>
        <w:pStyle w:val="NormalWeb"/>
        <w:shd w:val="clear" w:color="auto" w:fill="FFFFFF"/>
        <w:spacing w:after="360" w:afterAutospacing="0"/>
        <w:jc w:val="both"/>
        <w:rPr>
          <w:color w:val="000000"/>
          <w:sz w:val="28"/>
          <w:szCs w:val="28"/>
        </w:rPr>
      </w:pPr>
      <w:r w:rsidRPr="00F37DA1">
        <w:rPr>
          <w:color w:val="000000"/>
          <w:sz w:val="28"/>
          <w:szCs w:val="28"/>
        </w:rPr>
        <w:t>– Sau khi hết hạn thử việc được công ty chính thức tuyển dụng, nếu chưa thể đáp ứng kịp yêu cầu nghiệp vụ đòi hỏi, sẽ chấp hành vô điều kiện việc chuyển công tác hoặc thôi việc.</w:t>
      </w:r>
    </w:p>
    <w:p w14:paraId="07064A5A" w14:textId="77777777" w:rsidR="00F37DA1" w:rsidRPr="00F37DA1" w:rsidRDefault="00F37DA1" w:rsidP="00F37DA1">
      <w:pPr>
        <w:shd w:val="clear" w:color="auto" w:fill="FFFFFF"/>
        <w:spacing w:before="100" w:beforeAutospacing="1" w:after="360" w:line="240" w:lineRule="auto"/>
        <w:jc w:val="both"/>
        <w:rPr>
          <w:rFonts w:eastAsia="Times New Roman" w:cs="Times New Roman"/>
          <w:color w:val="000000"/>
          <w:szCs w:val="28"/>
        </w:rPr>
      </w:pPr>
      <w:r w:rsidRPr="00F37DA1">
        <w:rPr>
          <w:rFonts w:eastAsia="Times New Roman" w:cs="Times New Roman"/>
          <w:color w:val="000000"/>
          <w:szCs w:val="28"/>
        </w:rPr>
        <w:t>– Sẽ bị buộc thôi việc nếu tiết lô bí mật sản xuất, kinh doanh và nội bộ của nơi mình đang làm việc dưới bất kỳ hình thức nào.</w:t>
      </w:r>
    </w:p>
    <w:p w14:paraId="175F176B" w14:textId="77777777" w:rsidR="00F37DA1" w:rsidRPr="00F37DA1" w:rsidRDefault="00F37DA1" w:rsidP="00F37DA1">
      <w:pPr>
        <w:shd w:val="clear" w:color="auto" w:fill="FFFFFF"/>
        <w:spacing w:before="100" w:beforeAutospacing="1" w:after="360" w:line="240" w:lineRule="auto"/>
        <w:jc w:val="both"/>
        <w:rPr>
          <w:rFonts w:eastAsia="Times New Roman" w:cs="Times New Roman"/>
          <w:color w:val="000000"/>
          <w:szCs w:val="28"/>
        </w:rPr>
      </w:pPr>
      <w:r w:rsidRPr="00F37DA1">
        <w:rPr>
          <w:rFonts w:eastAsia="Times New Roman" w:cs="Times New Roman"/>
          <w:color w:val="000000"/>
          <w:szCs w:val="28"/>
        </w:rPr>
        <w:t>– Tuyệt đối trung thực và nhiệt tình với công việc được giao. Không gây thiệt hại ảnh hưởng đến sản xuất, kinh doanh và uy tín của công ty.</w:t>
      </w:r>
    </w:p>
    <w:p w14:paraId="36122A9B" w14:textId="77777777" w:rsidR="00F37DA1" w:rsidRPr="00F37DA1" w:rsidRDefault="00F37DA1" w:rsidP="00F37DA1">
      <w:pPr>
        <w:shd w:val="clear" w:color="auto" w:fill="FFFFFF"/>
        <w:spacing w:before="100" w:beforeAutospacing="1" w:after="360" w:line="240" w:lineRule="auto"/>
        <w:jc w:val="both"/>
        <w:rPr>
          <w:rFonts w:eastAsia="Times New Roman" w:cs="Times New Roman"/>
          <w:color w:val="000000"/>
          <w:szCs w:val="28"/>
        </w:rPr>
      </w:pPr>
      <w:r w:rsidRPr="00F37DA1">
        <w:rPr>
          <w:rFonts w:eastAsia="Times New Roman" w:cs="Times New Roman"/>
          <w:color w:val="000000"/>
          <w:szCs w:val="28"/>
        </w:rPr>
        <w:t>– Công ty hoàn toàn không thu bất kỳ khỏan lệ phí nào từ ứng viên. Nếu có trường hợp nào xảy ra vui lòng báo về phòng Quản lý Nguồn Nhân lực để được xử lý.</w:t>
      </w:r>
    </w:p>
    <w:p w14:paraId="71F941C4" w14:textId="77777777" w:rsidR="00F37DA1" w:rsidRPr="00F37DA1" w:rsidRDefault="00F37DA1" w:rsidP="00F37DA1">
      <w:pPr>
        <w:shd w:val="clear" w:color="auto" w:fill="FFFFFF"/>
        <w:spacing w:before="100" w:beforeAutospacing="1" w:after="360" w:line="240" w:lineRule="auto"/>
        <w:jc w:val="both"/>
        <w:rPr>
          <w:rFonts w:eastAsia="Times New Roman" w:cs="Times New Roman"/>
          <w:color w:val="000000"/>
          <w:szCs w:val="28"/>
        </w:rPr>
      </w:pPr>
      <w:r w:rsidRPr="00F37DA1">
        <w:rPr>
          <w:rFonts w:eastAsia="Times New Roman" w:cs="Times New Roman"/>
          <w:color w:val="000000"/>
          <w:szCs w:val="28"/>
        </w:rPr>
        <w:lastRenderedPageBreak/>
        <w:t>– Trong thời gian làm việc, nếu tôi không hoàn thành nhiệm vụ được giao hoặc vi phạm các qui định trên gây thiệt hại cho công ty thì tùy theo mức độ vi phạm nặng nhẹ tôi sẽ bị kỷ luật từ cảnh cáo đến buộc thôi việc và bồi hoàn thiệt hại (nếu có).</w:t>
      </w:r>
    </w:p>
    <w:p w14:paraId="025CE4A8" w14:textId="77777777" w:rsidR="00F37DA1" w:rsidRPr="00F37DA1" w:rsidRDefault="00F37DA1" w:rsidP="00F37DA1">
      <w:pPr>
        <w:shd w:val="clear" w:color="auto" w:fill="FFFFFF"/>
        <w:spacing w:before="100" w:beforeAutospacing="1" w:after="360" w:line="240" w:lineRule="auto"/>
        <w:jc w:val="right"/>
        <w:rPr>
          <w:rFonts w:eastAsia="Times New Roman" w:cs="Times New Roman"/>
          <w:color w:val="000000"/>
          <w:szCs w:val="28"/>
        </w:rPr>
      </w:pPr>
      <w:r w:rsidRPr="00F37DA1">
        <w:rPr>
          <w:rFonts w:eastAsia="Times New Roman" w:cs="Times New Roman"/>
          <w:color w:val="000000"/>
          <w:szCs w:val="28"/>
        </w:rPr>
        <w:t>…….., ngày …. tháng …. năm ….</w:t>
      </w:r>
    </w:p>
    <w:tbl>
      <w:tblPr>
        <w:tblW w:w="10031" w:type="dxa"/>
        <w:tblCellMar>
          <w:top w:w="15" w:type="dxa"/>
          <w:left w:w="15" w:type="dxa"/>
          <w:bottom w:w="15" w:type="dxa"/>
          <w:right w:w="15" w:type="dxa"/>
        </w:tblCellMar>
        <w:tblLook w:val="04A0" w:firstRow="1" w:lastRow="0" w:firstColumn="1" w:lastColumn="0" w:noHBand="0" w:noVBand="1"/>
      </w:tblPr>
      <w:tblGrid>
        <w:gridCol w:w="4748"/>
        <w:gridCol w:w="5283"/>
      </w:tblGrid>
      <w:tr w:rsidR="00F37DA1" w:rsidRPr="00F37DA1" w14:paraId="37F50424" w14:textId="77777777" w:rsidTr="00F37DA1">
        <w:trPr>
          <w:trHeight w:val="726"/>
        </w:trPr>
        <w:tc>
          <w:tcPr>
            <w:tcW w:w="0" w:type="auto"/>
            <w:tcMar>
              <w:top w:w="72" w:type="dxa"/>
              <w:left w:w="72" w:type="dxa"/>
              <w:bottom w:w="72" w:type="dxa"/>
              <w:right w:w="72" w:type="dxa"/>
            </w:tcMar>
            <w:vAlign w:val="center"/>
            <w:hideMark/>
          </w:tcPr>
          <w:p w14:paraId="40BCBC99" w14:textId="77777777" w:rsidR="00F37DA1" w:rsidRPr="00F37DA1" w:rsidRDefault="00F37DA1" w:rsidP="00F37DA1">
            <w:pPr>
              <w:spacing w:before="100" w:beforeAutospacing="1" w:after="360" w:line="240" w:lineRule="auto"/>
              <w:jc w:val="center"/>
              <w:rPr>
                <w:rFonts w:eastAsia="Times New Roman" w:cs="Times New Roman"/>
                <w:szCs w:val="28"/>
              </w:rPr>
            </w:pPr>
            <w:r w:rsidRPr="00F37DA1">
              <w:rPr>
                <w:rFonts w:eastAsia="Times New Roman" w:cs="Times New Roman"/>
                <w:b/>
                <w:bCs/>
                <w:szCs w:val="28"/>
              </w:rPr>
              <w:t>NGƯỜI CAM KẾT</w:t>
            </w:r>
          </w:p>
        </w:tc>
        <w:tc>
          <w:tcPr>
            <w:tcW w:w="0" w:type="auto"/>
            <w:tcMar>
              <w:top w:w="72" w:type="dxa"/>
              <w:left w:w="72" w:type="dxa"/>
              <w:bottom w:w="72" w:type="dxa"/>
              <w:right w:w="72" w:type="dxa"/>
            </w:tcMar>
            <w:vAlign w:val="center"/>
            <w:hideMark/>
          </w:tcPr>
          <w:p w14:paraId="239C22F0" w14:textId="77777777" w:rsidR="00F37DA1" w:rsidRPr="00F37DA1" w:rsidRDefault="00F37DA1" w:rsidP="00F37DA1">
            <w:pPr>
              <w:spacing w:before="100" w:beforeAutospacing="1" w:after="360" w:line="240" w:lineRule="auto"/>
              <w:jc w:val="center"/>
              <w:rPr>
                <w:rFonts w:eastAsia="Times New Roman" w:cs="Times New Roman"/>
                <w:szCs w:val="28"/>
              </w:rPr>
            </w:pPr>
            <w:r w:rsidRPr="00F37DA1">
              <w:rPr>
                <w:rFonts w:eastAsia="Times New Roman" w:cs="Times New Roman"/>
                <w:b/>
                <w:bCs/>
                <w:szCs w:val="28"/>
              </w:rPr>
              <w:t>ĐẠI DIỆN CÔNG TY</w:t>
            </w:r>
          </w:p>
        </w:tc>
      </w:tr>
    </w:tbl>
    <w:p w14:paraId="66309C9A" w14:textId="77777777" w:rsidR="0001086C" w:rsidRPr="00F37DA1" w:rsidRDefault="0001086C">
      <w:pPr>
        <w:rPr>
          <w:rFonts w:cs="Times New Roman"/>
          <w:szCs w:val="28"/>
        </w:rPr>
      </w:pPr>
    </w:p>
    <w:sectPr w:rsidR="0001086C" w:rsidRPr="00F37D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A1"/>
    <w:rsid w:val="0001086C"/>
    <w:rsid w:val="00F3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19764"/>
  <w15:chartTrackingRefBased/>
  <w15:docId w15:val="{FC1DD993-F916-407F-AF00-04B464E6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7DA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37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92216">
      <w:bodyDiv w:val="1"/>
      <w:marLeft w:val="0"/>
      <w:marRight w:val="0"/>
      <w:marTop w:val="0"/>
      <w:marBottom w:val="0"/>
      <w:divBdr>
        <w:top w:val="none" w:sz="0" w:space="0" w:color="auto"/>
        <w:left w:val="none" w:sz="0" w:space="0" w:color="auto"/>
        <w:bottom w:val="none" w:sz="0" w:space="0" w:color="auto"/>
        <w:right w:val="none" w:sz="0" w:space="0" w:color="auto"/>
      </w:divBdr>
    </w:div>
    <w:div w:id="1281112606">
      <w:bodyDiv w:val="1"/>
      <w:marLeft w:val="0"/>
      <w:marRight w:val="0"/>
      <w:marTop w:val="0"/>
      <w:marBottom w:val="0"/>
      <w:divBdr>
        <w:top w:val="none" w:sz="0" w:space="0" w:color="auto"/>
        <w:left w:val="none" w:sz="0" w:space="0" w:color="auto"/>
        <w:bottom w:val="none" w:sz="0" w:space="0" w:color="auto"/>
        <w:right w:val="none" w:sz="0" w:space="0" w:color="auto"/>
      </w:divBdr>
    </w:div>
    <w:div w:id="145440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2023-12-27T18:25:00Z</dcterms:created>
  <dcterms:modified xsi:type="dcterms:W3CDTF">2023-12-27T18:27:00Z</dcterms:modified>
</cp:coreProperties>
</file>