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2802D" w14:textId="77777777" w:rsidR="00D93466" w:rsidRPr="00D93466" w:rsidRDefault="00D93466" w:rsidP="00D93466">
      <w:pPr>
        <w:spacing w:after="100" w:afterAutospacing="1"/>
        <w:outlineLvl w:val="1"/>
        <w:rPr>
          <w:rFonts w:ascii="Helvetica" w:eastAsia="Times New Roman" w:hAnsi="Helvetica" w:cs="Times New Roman"/>
          <w:color w:val="212529"/>
          <w:sz w:val="36"/>
          <w:szCs w:val="36"/>
        </w:rPr>
      </w:pPr>
      <w:r w:rsidRPr="00D93466">
        <w:rPr>
          <w:rFonts w:ascii="Helvetica" w:eastAsia="Times New Roman" w:hAnsi="Helvetica" w:cs="Times New Roman"/>
          <w:b/>
          <w:bCs/>
          <w:color w:val="212529"/>
        </w:rPr>
        <w:t>Các khoản thu ngân sách địa phương hưởng 100% là những khoản thu nào?</w:t>
      </w:r>
    </w:p>
    <w:p w14:paraId="136BF2F3"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xml:space="preserve">Theo quy định hiện hành tại khoản 1 Điều 15 </w:t>
      </w:r>
      <w:hyperlink r:id="rId4" w:history="1">
        <w:r w:rsidRPr="00D93466">
          <w:rPr>
            <w:rStyle w:val="Hyperlink"/>
            <w:rFonts w:ascii="Helvetica" w:hAnsi="Helvetica" w:cs="Times New Roman"/>
            <w:color w:val="000000" w:themeColor="text1"/>
          </w:rPr>
          <w:t>Nghị định 163/2016/NĐ-CP </w:t>
        </w:r>
      </w:hyperlink>
      <w:r w:rsidRPr="00D93466">
        <w:rPr>
          <w:rFonts w:ascii="Helvetica" w:hAnsi="Helvetica" w:cs="Times New Roman"/>
          <w:color w:val="000000" w:themeColor="text1"/>
        </w:rPr>
        <w:t>thì các khoản thu ngân sách địa phương hưởng được hưởng 100% gồm:</w:t>
      </w:r>
    </w:p>
    <w:p w14:paraId="2F541B63"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Thuế tài nguyên, không kể thuế tài nguyên thu từ hoạt động thăm dò, khai thác dầu, khí;</w:t>
      </w:r>
    </w:p>
    <w:p w14:paraId="48AB66E7"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Thuế sử dụng đất nông nghiệp;</w:t>
      </w:r>
    </w:p>
    <w:p w14:paraId="72977FC3"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Thuế sử dụng đất phi nông nghiệp;</w:t>
      </w:r>
    </w:p>
    <w:p w14:paraId="390D3F7F"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Tiền sử dụng đất;</w:t>
      </w:r>
    </w:p>
    <w:p w14:paraId="4C49B517"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Tiền cho thuê đất, thuê mặt nước, không kể tiền thuê đất, thuê mặt nước từ hoạt động thăm dò, khai thác dầu, khí;</w:t>
      </w:r>
    </w:p>
    <w:p w14:paraId="42B517E9"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Tiền cho thuê và tiền bán nhà ở thuộc sở hữu nhà nước;</w:t>
      </w:r>
    </w:p>
    <w:p w14:paraId="38631658"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Lệ phí môn bài;</w:t>
      </w:r>
      <w:bookmarkStart w:id="0" w:name="_GoBack"/>
      <w:bookmarkEnd w:id="0"/>
    </w:p>
    <w:p w14:paraId="4C5CF97F"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Lệ phí trước bạ;</w:t>
      </w:r>
    </w:p>
    <w:p w14:paraId="25DC5A93"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 từ hoạt động xổ số kiến thiết, kể cả hoạt động xổ số điện toán;</w:t>
      </w:r>
    </w:p>
    <w:p w14:paraId="118B804A"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Các khoản thu hồi vốn của ngân sách địa phương đầu tư tại các tổ chức kinh tế (bao gồm cả gốc và lãi); thu cổ tức, lợi nhuận được chia tại công ty cổ phần, công ty trách nhiệm hữu hạn hai thành viên trở lên có vốn góp của Nhà nước do Ủy ban nhân dân các tỉnh, thành phố trực thuộc trung ương đại diện chủ sở hữu; thu phần lợi nhuận sau thuế còn lại sau khi trích lập các quỹ của doanh nghiệp nhà nước do Ủy ban nhân dân các tỉnh, thành phố trực thuộc trung ương đại diện chủ sở hữu;</w:t>
      </w:r>
    </w:p>
    <w:p w14:paraId="2FC543EB"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 từ bán tài sản nhà nước, kể cả thu từ chuyển nhượng quyền sử dụng đất gắn liền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của ngân sách địa phương tham gia trước khi thực hiện cổ phần hóa, sắp xếp lại và các đơn vị, tổ chức khác thuộc địa phương quản lý;</w:t>
      </w:r>
    </w:p>
    <w:p w14:paraId="3DCB4837"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Viện trợ không hoàn lại của các tổ chức quốc tế, các tổ chức khác, các cá nhân ở nước ngoài trực tiếp cho địa phương;</w:t>
      </w:r>
    </w:p>
    <w:p w14:paraId="3A9E4883"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xml:space="preserve">- Phí thu từ các hoạt động dịch vụ do các cơ quan nhà nước địa phương thực hiện, trường hợp được cấp có thẩm quyền cho khoán chi phí hoạt động thì được khấu trừ; phí thu từ các hoạt động dịch vụ do đơn vị sự nghiệp công lập địa phương và doanh </w:t>
      </w:r>
      <w:r w:rsidRPr="00D93466">
        <w:rPr>
          <w:rFonts w:ascii="Helvetica" w:hAnsi="Helvetica" w:cs="Times New Roman"/>
          <w:color w:val="000000" w:themeColor="text1"/>
        </w:rPr>
        <w:lastRenderedPageBreak/>
        <w:t>nghiệp nhà nước địa phương thực hiện, sau khi trừ phân được trích lại để bù đắp chi phí theo quy định của pháp luật;</w:t>
      </w:r>
    </w:p>
    <w:p w14:paraId="65509DF5"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Lệ phí do các cơ quan nhà nước địa phương thực hiện thu;</w:t>
      </w:r>
    </w:p>
    <w:p w14:paraId="60C8AE12"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Tiền thu từ xử phạt vi phạm hành chính, phạt, tịch thu khác theo quy định của pháp luật do các cơ quan nhà nước địa phương quyết định thực hiện xử phạt, tịch thu;</w:t>
      </w:r>
    </w:p>
    <w:p w14:paraId="0DCAE23A"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 từ tài sản được xác lập quyền sở hữu của nhà nước do các cơ quan, đơn vị, tổ chức thuộc địa phương xử lý, sau khi trừ đi các chi phí theo quy định của pháp luật;</w:t>
      </w:r>
    </w:p>
    <w:p w14:paraId="3B557DF2"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 từ tiền cấp quyền khai thác khoáng sản, cấp quyền khai thác tài nguyên nước phân ngân sách địa phương được hưởng theo quy định của pháp luật;</w:t>
      </w:r>
    </w:p>
    <w:p w14:paraId="59CD9391"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Tiền sử dụng khu vực biển đối với khu vực biển thuộc thẩm quyền giao của địa phương;</w:t>
      </w:r>
    </w:p>
    <w:p w14:paraId="3EA2F5AC"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 từ quỹ đất công ích và thu hoa lợi công sản khác;</w:t>
      </w:r>
    </w:p>
    <w:p w14:paraId="0CB792B7"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Huy động đóng góp từ các tổ chức, cá nhân theo quy định của pháp luật;</w:t>
      </w:r>
    </w:p>
    <w:p w14:paraId="7984380A"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 từ quỹ dự trữ tài chính địa phương;</w:t>
      </w:r>
    </w:p>
    <w:p w14:paraId="6066D55C"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Thu kết dư ngân sách địa phương;</w:t>
      </w:r>
    </w:p>
    <w:p w14:paraId="641422D4"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 Các khoản thu khác theo quy định của pháp luật.</w:t>
      </w:r>
    </w:p>
    <w:p w14:paraId="73891B3E" w14:textId="77777777" w:rsidR="00D93466" w:rsidRPr="00D93466" w:rsidRDefault="00D93466" w:rsidP="00D93466">
      <w:pPr>
        <w:spacing w:after="100" w:afterAutospacing="1"/>
        <w:outlineLvl w:val="1"/>
        <w:rPr>
          <w:rFonts w:ascii="Helvetica" w:eastAsia="Times New Roman" w:hAnsi="Helvetica" w:cs="Times New Roman"/>
          <w:color w:val="000000" w:themeColor="text1"/>
          <w:sz w:val="36"/>
          <w:szCs w:val="36"/>
        </w:rPr>
      </w:pPr>
      <w:r w:rsidRPr="00D93466">
        <w:rPr>
          <w:rFonts w:ascii="Helvetica" w:eastAsia="Times New Roman" w:hAnsi="Helvetica" w:cs="Times New Roman"/>
          <w:b/>
          <w:bCs/>
          <w:color w:val="000000" w:themeColor="text1"/>
        </w:rPr>
        <w:t>Những khoản chi nào thực hiện nhiệm vụ chi của ngân sách địa phương?</w:t>
      </w:r>
    </w:p>
    <w:p w14:paraId="6DE71FDE" w14:textId="77777777" w:rsidR="00D93466" w:rsidRPr="00D93466" w:rsidRDefault="00D93466" w:rsidP="00D93466">
      <w:pPr>
        <w:spacing w:after="100" w:afterAutospacing="1"/>
        <w:rPr>
          <w:rFonts w:ascii="Helvetica" w:hAnsi="Helvetica" w:cs="Times New Roman"/>
          <w:color w:val="000000" w:themeColor="text1"/>
        </w:rPr>
      </w:pPr>
      <w:r w:rsidRPr="00D93466">
        <w:rPr>
          <w:rFonts w:ascii="Helvetica" w:hAnsi="Helvetica" w:cs="Times New Roman"/>
          <w:color w:val="000000" w:themeColor="text1"/>
        </w:rPr>
        <w:t>Tại quy định Điều 16 Nghị định 163/2016/NĐ-CP quy định về những khoản chi thuộc nhiệm vụ chi của ngân sách địa phương như sau:</w:t>
      </w:r>
    </w:p>
    <w:p w14:paraId="56BE7BB6" w14:textId="77777777" w:rsidR="00D93466" w:rsidRPr="00D93466" w:rsidRDefault="00D93466" w:rsidP="00D93466">
      <w:pPr>
        <w:rPr>
          <w:rFonts w:ascii="Helvetica" w:eastAsia="Times New Roman" w:hAnsi="Helvetica" w:cs="Times New Roman"/>
          <w:color w:val="000000" w:themeColor="text1"/>
        </w:rPr>
      </w:pPr>
      <w:r w:rsidRPr="00D93466">
        <w:rPr>
          <w:rFonts w:ascii="Helvetica" w:eastAsia="Times New Roman" w:hAnsi="Helvetica" w:cs="Times New Roman"/>
          <w:b/>
          <w:bCs/>
          <w:i/>
          <w:iCs/>
          <w:color w:val="000000" w:themeColor="text1"/>
        </w:rPr>
        <w:t>Nhiệm vụ chi của ngân sách địa phương </w:t>
      </w:r>
    </w:p>
    <w:p w14:paraId="649CDCE4" w14:textId="77777777" w:rsidR="00D93466" w:rsidRPr="00D93466" w:rsidRDefault="00D93466" w:rsidP="00D93466">
      <w:pPr>
        <w:rPr>
          <w:rFonts w:ascii="Helvetica" w:eastAsia="Times New Roman" w:hAnsi="Helvetica" w:cs="Times New Roman"/>
          <w:color w:val="000000" w:themeColor="text1"/>
        </w:rPr>
      </w:pPr>
      <w:r w:rsidRPr="00D93466">
        <w:rPr>
          <w:rFonts w:ascii="Helvetica" w:eastAsia="Times New Roman" w:hAnsi="Helvetica" w:cs="Times New Roman"/>
          <w:i/>
          <w:iCs/>
          <w:color w:val="000000" w:themeColor="text1"/>
        </w:rPr>
        <w:t>1. Chi đầu tư phát triển:</w:t>
      </w:r>
    </w:p>
    <w:p w14:paraId="70D3069E" w14:textId="77777777" w:rsidR="00D93466" w:rsidRPr="00D93466" w:rsidRDefault="00D93466" w:rsidP="00D93466">
      <w:pPr>
        <w:rPr>
          <w:rFonts w:ascii="Helvetica" w:eastAsia="Times New Roman" w:hAnsi="Helvetica" w:cs="Times New Roman"/>
          <w:color w:val="000000" w:themeColor="text1"/>
        </w:rPr>
      </w:pPr>
      <w:r w:rsidRPr="00D93466">
        <w:rPr>
          <w:rFonts w:ascii="Helvetica" w:eastAsia="Times New Roman" w:hAnsi="Helvetica" w:cs="Times New Roman"/>
          <w:i/>
          <w:iCs/>
          <w:color w:val="000000" w:themeColor="text1"/>
        </w:rPr>
        <w:t>a) Đầu tư xây dựng cơ bản cho các chương trình, dự án do địa phương quản lý theo các lĩnh vực được quy định tại khoản 2 Điều này;</w:t>
      </w:r>
    </w:p>
    <w:p w14:paraId="6AB1DBE6"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b) Đầu tư và hỗ trợ vốn cho các doanh nghiệp cung cấp sản phẩm, dịch vụ công ích do nhà nước đặt hàng, các tổ chức kinh tế, các tổ chức tài chính của địa phương theo quy định của pháp luật; đầu tư vốn nhà nước vào doanh nghiệp do địa phương quản lý theo quy định của pháp luật;</w:t>
      </w:r>
    </w:p>
    <w:p w14:paraId="444DF42D"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c) Các khoản chi đầu tư phát triển khác theo quy định của pháp luật.</w:t>
      </w:r>
    </w:p>
    <w:p w14:paraId="7D9D3238"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2. Chi thường xuyên của các cơ quan, đơn vị ở địa phương được phân cấp trong các lĩnh vực:</w:t>
      </w:r>
    </w:p>
    <w:p w14:paraId="129C8050"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a) Sự nghiệp giáo dục - đào tạo và dạy nghề;</w:t>
      </w:r>
    </w:p>
    <w:p w14:paraId="18F33B2E"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b) Sự nghiệp khoa học và công nghệ;</w:t>
      </w:r>
    </w:p>
    <w:p w14:paraId="46321D71"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c) Quốc phòng, an ninh, trật tự, an toàn xã hội, phần giao cho địa phương quản lý;</w:t>
      </w:r>
    </w:p>
    <w:p w14:paraId="0BA047B4"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d) Sự nghiệp y tế, dân số và gia đình;</w:t>
      </w:r>
    </w:p>
    <w:p w14:paraId="1EEB7B17"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đ) Sự nghiệp văn hóa thông tin;</w:t>
      </w:r>
    </w:p>
    <w:p w14:paraId="4ADDEBC2"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e) Sự nghiệp phát thanh, truyền hình;</w:t>
      </w:r>
    </w:p>
    <w:p w14:paraId="3EAA597A"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g) Sự nghiệp thể dục thể thao;</w:t>
      </w:r>
    </w:p>
    <w:p w14:paraId="28377BA8"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h) Sự nghiệp bảo vệ môi trường;</w:t>
      </w:r>
    </w:p>
    <w:p w14:paraId="738FA9CE"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i) Các hoạt động kinh tế: Lĩnh vực nông nghiệp, lâm nghiệp, thủy lợi, thủy sản; giao thông; tài nguyên; quy hoạch; thương mại, du lịch; hoạt động kiến thiết thị chính; các hoạt động kinh tế khác;</w:t>
      </w:r>
    </w:p>
    <w:p w14:paraId="69723281"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k) Hoạt động của các cơ quan quản lý nhà nước, cơ quan Đảng cộng sản Việt Nam; Ủy ban Mặt trận tổ quốc Việt Nam, Đoàn thanh niên cộng sản Hồ Chí Minh, Hội Cựu chiến binh Việt Nam, Hội Liên hiệp phụ nữ Việt Nam, Hội Nông dân Việt Nam ở địa phương;</w:t>
      </w:r>
    </w:p>
    <w:p w14:paraId="5D0863A4"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l) Hỗ trợ hoạt động cho các tổ chức chính trị xã hội - nghề nghiệp, tổ chức xã hội, tổ chức xã hội - nghề nghiệp ở địa phương theo quy định của pháp luật;</w:t>
      </w:r>
    </w:p>
    <w:p w14:paraId="25E3702F"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m) Chi bảo đảm xã hội, bao gồm cả chi thực hiện các chính sách xã hội theo quy định của pháp luật;</w:t>
      </w:r>
    </w:p>
    <w:p w14:paraId="21537A3E"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n) Các khoản chi thường xuyên khác theo quy định của pháp luật.</w:t>
      </w:r>
    </w:p>
    <w:p w14:paraId="1A8554B9"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3. Chi trả lãi, phí và chi phí phát sinh khác từ các khoản tiền do chính quyền cấp tỉnh vay.</w:t>
      </w:r>
    </w:p>
    <w:p w14:paraId="080FF987"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4. Chi bổ sung quỹ dự trữ tài chính địa phương.</w:t>
      </w:r>
    </w:p>
    <w:p w14:paraId="67E46BFC"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5. Chi chuyển nguồn sang năm sau của ngân sách địa phương.</w:t>
      </w:r>
    </w:p>
    <w:p w14:paraId="410F8860" w14:textId="77777777" w:rsidR="00D93466" w:rsidRPr="00D93466" w:rsidRDefault="00D93466" w:rsidP="00D93466">
      <w:pPr>
        <w:rPr>
          <w:rFonts w:ascii="Helvetica" w:eastAsia="Times New Roman" w:hAnsi="Helvetica" w:cs="Times New Roman"/>
        </w:rPr>
      </w:pPr>
      <w:r w:rsidRPr="00D93466">
        <w:rPr>
          <w:rFonts w:ascii="Helvetica" w:eastAsia="Times New Roman" w:hAnsi="Helvetica" w:cs="Times New Roman"/>
          <w:i/>
          <w:iCs/>
        </w:rPr>
        <w:t>6. Chi bổ sung cân đối ngân sách, bổ sung có mục tiêu cho ngân sách cấp dưới.</w:t>
      </w:r>
    </w:p>
    <w:p w14:paraId="0BEF9EF3" w14:textId="77777777" w:rsidR="00D93466" w:rsidRPr="00D93466" w:rsidRDefault="00D93466" w:rsidP="00D93466">
      <w:pPr>
        <w:spacing w:before="375" w:after="100" w:afterAutospacing="1"/>
        <w:rPr>
          <w:rFonts w:ascii="Helvetica" w:hAnsi="Helvetica" w:cs="Times New Roman"/>
          <w:color w:val="212529"/>
        </w:rPr>
      </w:pPr>
      <w:r w:rsidRPr="00D93466">
        <w:rPr>
          <w:rFonts w:ascii="Helvetica" w:hAnsi="Helvetica" w:cs="Times New Roman"/>
          <w:color w:val="212529"/>
        </w:rPr>
        <w:t>Như vậy, những khoản chi thuộc nhiệm vụ chi của ngân sách địa phương gồm:</w:t>
      </w:r>
    </w:p>
    <w:p w14:paraId="02B17C1D" w14:textId="77777777" w:rsidR="00D93466" w:rsidRPr="00D93466" w:rsidRDefault="00D93466" w:rsidP="00D93466">
      <w:pPr>
        <w:spacing w:after="100" w:afterAutospacing="1"/>
        <w:rPr>
          <w:rFonts w:ascii="Helvetica" w:hAnsi="Helvetica" w:cs="Times New Roman"/>
          <w:color w:val="212529"/>
        </w:rPr>
      </w:pPr>
      <w:r w:rsidRPr="00D93466">
        <w:rPr>
          <w:rFonts w:ascii="Helvetica" w:hAnsi="Helvetica" w:cs="Times New Roman"/>
          <w:color w:val="212529"/>
        </w:rPr>
        <w:t>- Chi đầu tư phát triển</w:t>
      </w:r>
    </w:p>
    <w:p w14:paraId="6DF321F9" w14:textId="77777777" w:rsidR="00D93466" w:rsidRPr="00D93466" w:rsidRDefault="00D93466" w:rsidP="00D93466">
      <w:pPr>
        <w:spacing w:after="100" w:afterAutospacing="1"/>
        <w:rPr>
          <w:rFonts w:ascii="Helvetica" w:hAnsi="Helvetica" w:cs="Times New Roman"/>
          <w:color w:val="212529"/>
        </w:rPr>
      </w:pPr>
      <w:r w:rsidRPr="00D93466">
        <w:rPr>
          <w:rFonts w:ascii="Helvetica" w:hAnsi="Helvetica" w:cs="Times New Roman"/>
          <w:color w:val="212529"/>
        </w:rPr>
        <w:t>- Chi thường xuyên của các cơ quan, đơn vị ở địa phương</w:t>
      </w:r>
    </w:p>
    <w:p w14:paraId="236B4B91" w14:textId="77777777" w:rsidR="00D93466" w:rsidRPr="00D93466" w:rsidRDefault="00D93466" w:rsidP="00D93466">
      <w:pPr>
        <w:spacing w:after="100" w:afterAutospacing="1"/>
        <w:rPr>
          <w:rFonts w:ascii="Helvetica" w:hAnsi="Helvetica" w:cs="Times New Roman"/>
          <w:color w:val="212529"/>
        </w:rPr>
      </w:pPr>
      <w:r w:rsidRPr="00D93466">
        <w:rPr>
          <w:rFonts w:ascii="Helvetica" w:hAnsi="Helvetica" w:cs="Times New Roman"/>
          <w:color w:val="212529"/>
        </w:rPr>
        <w:t>- Chi trả lãi, phí và chi phí phát sinh khác từ các khoản tiền do chính quyền cấp tỉnh vay</w:t>
      </w:r>
    </w:p>
    <w:p w14:paraId="663EB8B0" w14:textId="77777777" w:rsidR="00D93466" w:rsidRPr="00D93466" w:rsidRDefault="00D93466" w:rsidP="00D93466">
      <w:pPr>
        <w:spacing w:after="100" w:afterAutospacing="1"/>
        <w:rPr>
          <w:rFonts w:ascii="Helvetica" w:hAnsi="Helvetica" w:cs="Times New Roman"/>
          <w:color w:val="212529"/>
        </w:rPr>
      </w:pPr>
      <w:r w:rsidRPr="00D93466">
        <w:rPr>
          <w:rFonts w:ascii="Helvetica" w:hAnsi="Helvetica" w:cs="Times New Roman"/>
          <w:color w:val="212529"/>
        </w:rPr>
        <w:t>- Chi bổ sung quỹ dự trữ tài chính địa phương</w:t>
      </w:r>
    </w:p>
    <w:p w14:paraId="0F402EED" w14:textId="77777777" w:rsidR="00D93466" w:rsidRPr="00D93466" w:rsidRDefault="00D93466" w:rsidP="00D93466">
      <w:pPr>
        <w:spacing w:after="100" w:afterAutospacing="1"/>
        <w:rPr>
          <w:rFonts w:ascii="Helvetica" w:hAnsi="Helvetica" w:cs="Times New Roman"/>
          <w:color w:val="212529"/>
        </w:rPr>
      </w:pPr>
      <w:r w:rsidRPr="00D93466">
        <w:rPr>
          <w:rFonts w:ascii="Helvetica" w:hAnsi="Helvetica" w:cs="Times New Roman"/>
          <w:color w:val="212529"/>
        </w:rPr>
        <w:t>- Chi chuyển nguồn sang năm sau của ngân sách địa phương</w:t>
      </w:r>
    </w:p>
    <w:p w14:paraId="2C54FEA9" w14:textId="77777777" w:rsidR="00D93466" w:rsidRPr="00D93466" w:rsidRDefault="00D93466" w:rsidP="00D93466">
      <w:pPr>
        <w:spacing w:after="100" w:afterAutospacing="1"/>
        <w:rPr>
          <w:rFonts w:ascii="Helvetica" w:hAnsi="Helvetica" w:cs="Times New Roman"/>
          <w:color w:val="212529"/>
        </w:rPr>
      </w:pPr>
      <w:r w:rsidRPr="00D93466">
        <w:rPr>
          <w:rFonts w:ascii="Helvetica" w:hAnsi="Helvetica" w:cs="Times New Roman"/>
          <w:color w:val="212529"/>
        </w:rPr>
        <w:t>- Chi bổ sung cân đối ngân sách, bổ sung có mục tiêu cho ngân sách cấp dưới</w:t>
      </w:r>
    </w:p>
    <w:p w14:paraId="53BA5496" w14:textId="77777777" w:rsidR="00733344" w:rsidRDefault="00733344"/>
    <w:sectPr w:rsidR="00733344" w:rsidSect="00D9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66"/>
    <w:rsid w:val="00733344"/>
    <w:rsid w:val="00D93466"/>
    <w:rsid w:val="00D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26C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3466"/>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3466"/>
    <w:rPr>
      <w:rFonts w:ascii="Times New Roman" w:hAnsi="Times New Roman" w:cs="Times New Roman"/>
      <w:b/>
      <w:bCs/>
      <w:sz w:val="36"/>
      <w:szCs w:val="36"/>
    </w:rPr>
  </w:style>
  <w:style w:type="character" w:styleId="Strong">
    <w:name w:val="Strong"/>
    <w:basedOn w:val="DefaultParagraphFont"/>
    <w:uiPriority w:val="22"/>
    <w:qFormat/>
    <w:rsid w:val="00D93466"/>
    <w:rPr>
      <w:b/>
      <w:bCs/>
    </w:rPr>
  </w:style>
  <w:style w:type="paragraph" w:styleId="NormalWeb">
    <w:name w:val="Normal (Web)"/>
    <w:basedOn w:val="Normal"/>
    <w:uiPriority w:val="99"/>
    <w:semiHidden/>
    <w:unhideWhenUsed/>
    <w:rsid w:val="00D9346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93466"/>
  </w:style>
  <w:style w:type="character" w:styleId="Hyperlink">
    <w:name w:val="Hyperlink"/>
    <w:basedOn w:val="DefaultParagraphFont"/>
    <w:uiPriority w:val="99"/>
    <w:unhideWhenUsed/>
    <w:rsid w:val="00D93466"/>
    <w:rPr>
      <w:color w:val="0000FF"/>
      <w:u w:val="single"/>
    </w:rPr>
  </w:style>
  <w:style w:type="character" w:styleId="Emphasis">
    <w:name w:val="Emphasis"/>
    <w:basedOn w:val="DefaultParagraphFont"/>
    <w:uiPriority w:val="20"/>
    <w:qFormat/>
    <w:rsid w:val="00D934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168263">
      <w:bodyDiv w:val="1"/>
      <w:marLeft w:val="0"/>
      <w:marRight w:val="0"/>
      <w:marTop w:val="0"/>
      <w:marBottom w:val="0"/>
      <w:divBdr>
        <w:top w:val="none" w:sz="0" w:space="0" w:color="auto"/>
        <w:left w:val="none" w:sz="0" w:space="0" w:color="auto"/>
        <w:bottom w:val="none" w:sz="0" w:space="0" w:color="auto"/>
        <w:right w:val="none" w:sz="0" w:space="0" w:color="auto"/>
      </w:divBdr>
      <w:divsChild>
        <w:div w:id="19468406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3712802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801638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7469373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3818848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3239425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0188904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683465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8270238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61628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703922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7412260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264413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5376135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559520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3606377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09730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9643964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147289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9809321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8228272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8965944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33933633">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uatminhkhue.vn/nghi-dinh-163-2016-nd-cp-huong-dan-luat-ngan-sach-nha-nuoc.asp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4875</Characters>
  <Application>Microsoft Macintosh Word</Application>
  <DocSecurity>0</DocSecurity>
  <Lines>40</Lines>
  <Paragraphs>11</Paragraphs>
  <ScaleCrop>false</ScaleCrop>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luatminhkhue88@gmail.com</cp:lastModifiedBy>
  <cp:revision>1</cp:revision>
  <dcterms:created xsi:type="dcterms:W3CDTF">2024-01-10T18:18:00Z</dcterms:created>
  <dcterms:modified xsi:type="dcterms:W3CDTF">2024-01-10T18:20:00Z</dcterms:modified>
</cp:coreProperties>
</file>