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BẢNG GIÁ ĐẤT TỈNH BÀ RỊA - VŨNG TÀU</w:t>
      </w:r>
    </w:p>
    <w:p>
      <w:pPr>
        <w:jc w:val="center"/>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w:t>
      </w:r>
      <w:r>
        <w:rPr>
          <w:rFonts w:hint="default" w:ascii="Times New Roman" w:hAnsi="Times New Roman" w:eastAsia="Arial" w:cs="Times New Roman"/>
          <w:b/>
          <w:bCs/>
          <w:i/>
          <w:iCs/>
          <w:caps w:val="0"/>
          <w:color w:val="222222"/>
          <w:spacing w:val="0"/>
          <w:sz w:val="26"/>
          <w:szCs w:val="26"/>
          <w:shd w:val="clear" w:fill="FFFFFF"/>
        </w:rPr>
        <w:t xml:space="preserve">Quyết định </w:t>
      </w:r>
      <w:r>
        <w:rPr>
          <w:rFonts w:hint="default" w:ascii="Times New Roman" w:hAnsi="Times New Roman" w:eastAsia="Arial" w:cs="Times New Roman"/>
          <w:b/>
          <w:bCs/>
          <w:i/>
          <w:iCs/>
          <w:caps w:val="0"/>
          <w:color w:val="222222"/>
          <w:spacing w:val="0"/>
          <w:sz w:val="26"/>
          <w:szCs w:val="26"/>
          <w:shd w:val="clear" w:fill="FFFFFF"/>
          <w:lang w:val="en-US"/>
        </w:rPr>
        <w:t xml:space="preserve">số </w:t>
      </w:r>
      <w:r>
        <w:rPr>
          <w:rFonts w:hint="default" w:ascii="Times New Roman" w:hAnsi="Times New Roman" w:eastAsia="Arial" w:cs="Times New Roman"/>
          <w:b/>
          <w:bCs/>
          <w:i/>
          <w:iCs/>
          <w:caps w:val="0"/>
          <w:color w:val="222222"/>
          <w:spacing w:val="0"/>
          <w:sz w:val="26"/>
          <w:szCs w:val="26"/>
          <w:shd w:val="clear" w:fill="FFFFFF"/>
        </w:rPr>
        <w:t>38/2019/QĐ</w:t>
      </w:r>
      <w:r>
        <w:rPr>
          <w:rFonts w:hint="default" w:ascii="Times New Roman" w:hAnsi="Times New Roman" w:eastAsia="Arial" w:cs="Times New Roman"/>
          <w:b/>
          <w:bCs/>
          <w:i/>
          <w:iCs/>
          <w:caps w:val="0"/>
          <w:color w:val="222222"/>
          <w:spacing w:val="0"/>
          <w:sz w:val="26"/>
          <w:szCs w:val="26"/>
          <w:shd w:val="clear" w:fill="FFFFFF"/>
          <w:lang w:val="en-US"/>
        </w:rPr>
        <w:t>-</w:t>
      </w:r>
      <w:r>
        <w:rPr>
          <w:rFonts w:hint="default" w:ascii="Times New Roman" w:hAnsi="Times New Roman" w:eastAsia="Arial" w:cs="Times New Roman"/>
          <w:b/>
          <w:bCs/>
          <w:i/>
          <w:iCs/>
          <w:caps w:val="0"/>
          <w:color w:val="222222"/>
          <w:spacing w:val="0"/>
          <w:sz w:val="26"/>
          <w:szCs w:val="26"/>
          <w:shd w:val="clear" w:fill="FFFFFF"/>
        </w:rPr>
        <w:t>UBND</w:t>
      </w:r>
      <w:r>
        <w:rPr>
          <w:rFonts w:hint="default" w:ascii="Times New Roman" w:hAnsi="Times New Roman" w:eastAsia="Arial" w:cs="Times New Roman"/>
          <w:b/>
          <w:bCs/>
          <w:i/>
          <w:iCs/>
          <w:caps w:val="0"/>
          <w:color w:val="222222"/>
          <w:spacing w:val="0"/>
          <w:sz w:val="26"/>
          <w:szCs w:val="26"/>
          <w:shd w:val="clear" w:fill="FFFFFF"/>
          <w:lang w:val="en-US"/>
        </w:rPr>
        <w:t xml:space="preserve"> và Q</w:t>
      </w:r>
      <w:r>
        <w:rPr>
          <w:rFonts w:hint="default" w:ascii="Times New Roman" w:hAnsi="Times New Roman" w:eastAsia="Arial" w:cs="Times New Roman"/>
          <w:b/>
          <w:bCs/>
          <w:i/>
          <w:iCs/>
          <w:caps w:val="0"/>
          <w:color w:val="222222"/>
          <w:spacing w:val="0"/>
          <w:sz w:val="26"/>
          <w:szCs w:val="26"/>
          <w:shd w:val="clear" w:fill="FFFFFF"/>
        </w:rPr>
        <w:t>uyết định số 25/2022/QĐ-UBND về việc sữa đổi , bổ sung một số điều của Quyết định 38/2019/QĐ</w:t>
      </w:r>
      <w:r>
        <w:rPr>
          <w:rFonts w:hint="default" w:ascii="Times New Roman" w:hAnsi="Times New Roman" w:eastAsia="Arial" w:cs="Times New Roman"/>
          <w:b/>
          <w:bCs/>
          <w:i/>
          <w:iCs/>
          <w:caps w:val="0"/>
          <w:color w:val="222222"/>
          <w:spacing w:val="0"/>
          <w:sz w:val="26"/>
          <w:szCs w:val="26"/>
          <w:shd w:val="clear" w:fill="FFFFFF"/>
          <w:lang w:val="en-US"/>
        </w:rPr>
        <w:t>-</w:t>
      </w:r>
      <w:r>
        <w:rPr>
          <w:rFonts w:hint="default" w:ascii="Times New Roman" w:hAnsi="Times New Roman" w:eastAsia="Arial" w:cs="Times New Roman"/>
          <w:b/>
          <w:bCs/>
          <w:i/>
          <w:iCs/>
          <w:caps w:val="0"/>
          <w:color w:val="222222"/>
          <w:spacing w:val="0"/>
          <w:sz w:val="26"/>
          <w:szCs w:val="26"/>
          <w:shd w:val="clear" w:fill="FFFFFF"/>
        </w:rPr>
        <w:t>UBND</w:t>
      </w:r>
      <w:r>
        <w:rPr>
          <w:rFonts w:hint="default" w:ascii="Times New Roman" w:hAnsi="Times New Roman" w:eastAsia="Arial" w:cs="Times New Roman"/>
          <w:b/>
          <w:bCs/>
          <w:i/>
          <w:iCs/>
          <w:caps w:val="0"/>
          <w:color w:val="222222"/>
          <w:spacing w:val="0"/>
          <w:sz w:val="26"/>
          <w:szCs w:val="26"/>
          <w:shd w:val="clear" w:fill="FFFFFF"/>
          <w:lang w:val="en-US"/>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b/>
          <w:bCs/>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lang/>
        </w:rPr>
        <w:t>1. Bảng giá đất nông nghiệp trong đô thị</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Áp dụng đối với các phường của thành phố Vũng Tàu, thành phố Bà Rịa, thị xã Phú Mỹ và thị trấn của các huyện Long Điền, Châu Đức, Xuyên Mộc, Đất Đỏ.</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(ĐVT: 1.000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a) Bảng giá đất trồng cây lâu năm, cây hàng năm</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10"/>
        <w:gridCol w:w="1192"/>
        <w:gridCol w:w="1022"/>
        <w:gridCol w:w="1107"/>
        <w:gridCol w:w="1107"/>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Địa bàn</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Vũng Tàu</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450</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405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360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315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Bà Rịa</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405</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365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325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285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xã Phú Mỹ</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365</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330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290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255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trấn thuộc các huyện</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330</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295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230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b) Bảng giá đất nuôi trồng thủy sản</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10"/>
        <w:gridCol w:w="1192"/>
        <w:gridCol w:w="1022"/>
        <w:gridCol w:w="1107"/>
        <w:gridCol w:w="1107"/>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Địa bàn</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Vũng Tàu</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375</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338</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300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Bà Rịa</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338</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304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238</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xã Phú Mỹ</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304</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212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trấn thuộc các huyện</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275</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246</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167</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c) Bảng giá đất rừng sản xuất</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9"/>
        <w:gridCol w:w="1205"/>
        <w:gridCol w:w="1032"/>
        <w:gridCol w:w="1119"/>
        <w:gridCol w:w="1119"/>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Địa bàn</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Vũng Tàu</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190</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133</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Bà Rịa</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171</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120</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xã Phú Mỹ</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154</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139</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123</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108</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trấn thuộc các huyện</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139</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97</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83</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d) Bảng giá đất rừng đặc dụng, rừng phòng hộ</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9"/>
        <w:gridCol w:w="1205"/>
        <w:gridCol w:w="1032"/>
        <w:gridCol w:w="1119"/>
        <w:gridCol w:w="1119"/>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Địa bàn</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Vũng Tàu</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127</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Thành phố Bà Rịa</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114</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103</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80</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xã Phú Mỹ</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103</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93</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72</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Thị trấn thuộc các huyện</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93</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65</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56</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lang/>
        </w:rPr>
        <w:t>2. Bảng giá đất nông nghiệp tại khu vực nông thôn</w:t>
      </w:r>
      <w:r>
        <w:rPr>
          <w:rFonts w:hint="default" w:ascii="Times New Roman" w:hAnsi="Times New Roman" w:cs="Times New Roman"/>
          <w:i w:val="0"/>
          <w:iCs w:val="0"/>
          <w:caps w:val="0"/>
          <w:color w:val="000000"/>
          <w:spacing w:val="0"/>
          <w:sz w:val="26"/>
          <w:szCs w:val="26"/>
          <w:bdr w:val="none" w:color="auto" w:sz="0" w:space="0"/>
          <w:shd w:val="clear" w:fill="FFFFFF"/>
          <w:lang/>
        </w:rPr>
        <w:t xml:space="preserve"> (ĐVT : 1.000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a) Bảng giá đất trồng cây lâu năm, cây hàng năm</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19"/>
        <w:gridCol w:w="6"/>
        <w:gridCol w:w="1334"/>
        <w:gridCol w:w="1251"/>
        <w:gridCol w:w="1251"/>
        <w:gridCol w:w="1251"/>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gridSpan w:val="2"/>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7"/>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Xã Long Sơn thuộc Thành phố Vũng Tàu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210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7"/>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Thành phố Bà Rịa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7"/>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thị xã Phú Mỹ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7"/>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các huyện Châu Đức, Xuyên Mộc, Long Điền, Đất Đỏ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gridSpan w:val="2"/>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640"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c>
          <w:tcPr>
            <w:tcW w:w="144"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c>
          <w:tcPr>
            <w:tcW w:w="1800"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c>
          <w:tcPr>
            <w:tcW w:w="1785"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c>
          <w:tcPr>
            <w:tcW w:w="1710"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c>
          <w:tcPr>
            <w:tcW w:w="1725"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c>
          <w:tcPr>
            <w:tcW w:w="1545" w:type="dxa"/>
            <w:shd w:val="clear" w:color="auto" w:fill="FFFFFF"/>
            <w:vAlign w:val="center"/>
          </w:tcPr>
          <w:p>
            <w:pPr>
              <w:jc w:val="left"/>
              <w:rPr>
                <w:rFonts w:hint="default" w:ascii="Times New Roman" w:hAnsi="Times New Roman" w:cs="Times New Roman"/>
                <w:i w:val="0"/>
                <w:iCs w:val="0"/>
                <w:caps w:val="0"/>
                <w:color w:val="000000"/>
                <w:spacing w:val="0"/>
                <w:sz w:val="26"/>
                <w:szCs w:val="26"/>
              </w:rPr>
            </w:pP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b) Bảng giá đất nuôi trồng thủy sản</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20"/>
        <w:gridCol w:w="1335"/>
        <w:gridCol w:w="1252"/>
        <w:gridCol w:w="1252"/>
        <w:gridCol w:w="1252"/>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Xã Long Sơn thuộc Thành phố Vũng Tàu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158</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Thành phố Bà Rịa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158</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thị xã Phú Mỹ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129</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các huyện Châu Đức, Xuyên Mộc, Long Điền, Đất Đỏ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129</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117</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c) Bảng giá đất rừng sản xuất</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20"/>
        <w:gridCol w:w="1335"/>
        <w:gridCol w:w="1252"/>
        <w:gridCol w:w="1252"/>
        <w:gridCol w:w="1252"/>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Xã Long Sơn thuộc Thành phố Vũng Tàu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Thành phố Bà Rịa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thị xã Phú Mỹ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78</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các huyện Châu Đức, Xuyên Mộc, Long Điền, Đất Đỏ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78</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70</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d) Bảng giá đất rừng đặc dụng, rừng phòng hộ</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19"/>
        <w:gridCol w:w="1252"/>
        <w:gridCol w:w="1252"/>
        <w:gridCol w:w="1252"/>
        <w:gridCol w:w="1252"/>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Xã Long Sơn thuộc Thành phố Vũng Tàu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71</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64</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Thành phố Bà Rịa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64</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57</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thị xã Phú Mỹ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57</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52</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5000" w:type="pct"/>
            <w:gridSpan w:val="6"/>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Các xã thuộc các huyện Châu Đức, Xuyên Mộc, Long Điền, Đất Đỏ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52</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47</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lang/>
        </w:rPr>
        <w:t xml:space="preserve">3. Bảng giá đất nông nghiệp tại huyện Côn Đảo </w:t>
      </w:r>
      <w:r>
        <w:rPr>
          <w:rFonts w:hint="default" w:ascii="Times New Roman" w:hAnsi="Times New Roman" w:cs="Times New Roman"/>
          <w:i w:val="0"/>
          <w:iCs w:val="0"/>
          <w:caps w:val="0"/>
          <w:color w:val="000000"/>
          <w:spacing w:val="0"/>
          <w:sz w:val="26"/>
          <w:szCs w:val="26"/>
          <w:bdr w:val="none" w:color="auto" w:sz="0" w:space="0"/>
          <w:shd w:val="clear" w:fill="FFFFFF"/>
          <w:lang/>
        </w:rPr>
        <w:t>(ĐVT : 1.000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a) Bảng giá đất trồng cây lâu năm, cây hàng năm</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1</w:t>
            </w:r>
          </w:p>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295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230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200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b) Bảng giá đất nuôi trồng thủy sản</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1</w:t>
            </w:r>
          </w:p>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167</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c) Bảng giá đất rừng sản xuất</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9"/>
        <w:gridCol w:w="1205"/>
        <w:gridCol w:w="1032"/>
        <w:gridCol w:w="1119"/>
        <w:gridCol w:w="1119"/>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Địa bàn</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1</w:t>
            </w:r>
          </w:p>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2</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139</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125</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97</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83</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d) Bảng giá đất rừng đặc dụng, rừng phòng hộ</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9"/>
        <w:gridCol w:w="1205"/>
        <w:gridCol w:w="1032"/>
        <w:gridCol w:w="1119"/>
        <w:gridCol w:w="1119"/>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6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Địa bàn</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6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1</w:t>
            </w:r>
          </w:p>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Đường loại 2</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93</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65</w:t>
            </w:r>
          </w:p>
        </w:tc>
        <w:tc>
          <w:tcPr>
            <w:tcW w:w="6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56</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b/>
          <w:bCs/>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lang/>
        </w:rPr>
        <w:t>4. Bảng giá đất làm muối áp dụng trên toàn tỉnh</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36"/>
        <w:gridCol w:w="1204"/>
        <w:gridCol w:w="1205"/>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30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đất</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3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Đơn giá (đồng/m</w:t>
            </w:r>
            <w:r>
              <w:rPr>
                <w:rFonts w:hint="default" w:ascii="Times New Roman" w:hAnsi="Times New Roman" w:cs="Times New Roman"/>
                <w:i w:val="0"/>
                <w:iCs w:val="0"/>
                <w:caps w:val="0"/>
                <w:color w:val="000000"/>
                <w:spacing w:val="0"/>
                <w:sz w:val="26"/>
                <w:szCs w:val="26"/>
                <w:bdr w:val="none" w:color="auto" w:sz="0" w:space="0"/>
                <w:vertAlign w:val="superscript"/>
                <w:lang/>
              </w:rPr>
              <w:t>2</w:t>
            </w:r>
            <w:r>
              <w:rPr>
                <w:rFonts w:hint="default" w:ascii="Times New Roman" w:hAnsi="Times New Roman" w:cs="Times New Roman"/>
                <w:i w:val="0"/>
                <w:iCs w:val="0"/>
                <w:caps w:val="0"/>
                <w:color w:val="000000"/>
                <w:spacing w:val="0"/>
                <w:sz w:val="26"/>
                <w:szCs w:val="26"/>
                <w:bdr w:val="none" w:color="auto" w:sz="0" w:space="0"/>
                <w:lang/>
              </w:rPr>
              <w:t>)</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135.000</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121.500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108.000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94.500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81.000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b/>
          <w:bCs/>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lang w:val="en-US"/>
        </w:rPr>
        <w:t>5</w:t>
      </w:r>
      <w:r>
        <w:rPr>
          <w:rFonts w:hint="default" w:ascii="Times New Roman" w:hAnsi="Times New Roman" w:cs="Times New Roman"/>
          <w:b/>
          <w:bCs/>
          <w:i w:val="0"/>
          <w:iCs w:val="0"/>
          <w:caps w:val="0"/>
          <w:color w:val="000000"/>
          <w:spacing w:val="0"/>
          <w:sz w:val="26"/>
          <w:szCs w:val="26"/>
          <w:bdr w:val="none" w:color="auto" w:sz="0" w:space="0"/>
          <w:shd w:val="clear" w:fill="FFFFFF"/>
          <w:lang/>
        </w:rPr>
        <w:t>. Bảng giá đất ở tại khu vực nông thôn</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lang/>
        </w:rPr>
        <w:t>(ĐVT: 1.000 đồng/m</w:t>
      </w:r>
      <w:r>
        <w:rPr>
          <w:rFonts w:hint="default" w:ascii="Times New Roman" w:hAnsi="Times New Roman" w:cs="Times New Roman"/>
          <w:i/>
          <w:iCs/>
          <w:caps w:val="0"/>
          <w:color w:val="000000"/>
          <w:spacing w:val="0"/>
          <w:sz w:val="26"/>
          <w:szCs w:val="26"/>
          <w:bdr w:val="none" w:color="auto" w:sz="0" w:space="0"/>
          <w:shd w:val="clear" w:fill="FFFFFF"/>
          <w:vertAlign w:val="superscript"/>
          <w:lang/>
        </w:rPr>
        <w:t>2</w:t>
      </w:r>
      <w:r>
        <w:rPr>
          <w:rFonts w:hint="default" w:ascii="Times New Roman" w:hAnsi="Times New Roman" w:cs="Times New Roman"/>
          <w:i/>
          <w:iCs/>
          <w:caps w:val="0"/>
          <w:color w:val="000000"/>
          <w:spacing w:val="0"/>
          <w:sz w:val="26"/>
          <w:szCs w:val="26"/>
          <w:bdr w:val="none" w:color="auto" w:sz="0" w:space="0"/>
          <w:shd w:val="clear" w:fill="FFFFFF"/>
          <w:lang/>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a) Áp dụng đối với xã Long Sơn - Thành phố Vũng Tàu, thành phố Bà Rịa</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92"/>
        <w:gridCol w:w="1376"/>
        <w:gridCol w:w="1291"/>
        <w:gridCol w:w="1291"/>
        <w:gridCol w:w="1291"/>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6.408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4.486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3.204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2.563</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3.916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2.741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1.566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1.175</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b) Áp dụng đối với thị xã Phú Mỹ</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92"/>
        <w:gridCol w:w="1376"/>
        <w:gridCol w:w="1291"/>
        <w:gridCol w:w="1291"/>
        <w:gridCol w:w="1291"/>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5.874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4.112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2.937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2.350</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3.738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2.617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1.869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1.495</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1.122</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c) Áp dụng đối với huyện Châu Đức, huyện Xuyên Mộc</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92"/>
        <w:gridCol w:w="1376"/>
        <w:gridCol w:w="1291"/>
        <w:gridCol w:w="1291"/>
        <w:gridCol w:w="1291"/>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3.916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2.741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1.566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1.602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1.121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801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641</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481</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d) Áp dụng đối với huyện Long Điền, huyện Đất Đỏ</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92"/>
        <w:gridCol w:w="1376"/>
        <w:gridCol w:w="1291"/>
        <w:gridCol w:w="1291"/>
        <w:gridCol w:w="1291"/>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7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3.916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2.741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1.566</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Khu vực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1.780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1.246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712</w:t>
            </w:r>
          </w:p>
        </w:tc>
        <w:tc>
          <w:tcPr>
            <w:tcW w:w="7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534</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đ) Áp dụng đối với huyện Côn Đảo</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12.496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8.747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6.248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4.998</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8.886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4.443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3.554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2.666</w:t>
            </w:r>
          </w:p>
        </w:tc>
      </w:tr>
    </w:tbl>
    <w:p>
      <w:pPr>
        <w:rPr>
          <w:rFonts w:hint="default" w:ascii="Times New Roman" w:hAnsi="Times New Roman" w:eastAsia="SimSun" w:cs="Times New Roman"/>
          <w:b w:val="0"/>
          <w:bCs w:val="0"/>
          <w:i w:val="0"/>
          <w:iCs w:val="0"/>
          <w:caps w:val="0"/>
          <w:color w:val="000000"/>
          <w:spacing w:val="0"/>
          <w:sz w:val="26"/>
          <w:szCs w:val="26"/>
          <w:shd w:val="clear" w:fill="FFFFFF"/>
        </w:rPr>
      </w:pPr>
    </w:p>
    <w:p>
      <w:pPr>
        <w:rPr>
          <w:rFonts w:hint="default" w:ascii="Times New Roman" w:hAnsi="Times New Roman" w:eastAsia="SimSun" w:cs="Times New Roman"/>
          <w:b w:val="0"/>
          <w:bCs w:val="0"/>
          <w:i w:val="0"/>
          <w:iCs w:val="0"/>
          <w:caps w:val="0"/>
          <w:color w:val="000000"/>
          <w:spacing w:val="0"/>
          <w:sz w:val="26"/>
          <w:szCs w:val="26"/>
          <w:shd w:val="clear" w:fill="FFFFFF"/>
        </w:rPr>
      </w:pPr>
      <w:r>
        <w:rPr>
          <w:rFonts w:hint="default" w:eastAsia="SimSun" w:cs="Times New Roman"/>
          <w:b w:val="0"/>
          <w:bCs w:val="0"/>
          <w:i w:val="0"/>
          <w:iCs w:val="0"/>
          <w:caps w:val="0"/>
          <w:color w:val="000000"/>
          <w:spacing w:val="0"/>
          <w:sz w:val="26"/>
          <w:szCs w:val="26"/>
          <w:shd w:val="clear" w:fill="FFFFFF"/>
          <w:lang w:val="en-US"/>
        </w:rPr>
        <w:t>*</w:t>
      </w:r>
      <w:r>
        <w:rPr>
          <w:rFonts w:hint="default" w:ascii="Times New Roman" w:hAnsi="Times New Roman" w:eastAsia="SimSun" w:cs="Times New Roman"/>
          <w:b w:val="0"/>
          <w:bCs w:val="0"/>
          <w:i w:val="0"/>
          <w:iCs w:val="0"/>
          <w:caps w:val="0"/>
          <w:color w:val="000000"/>
          <w:spacing w:val="0"/>
          <w:sz w:val="26"/>
          <w:szCs w:val="26"/>
          <w:shd w:val="clear" w:fill="FFFFFF"/>
        </w:rPr>
        <w:t xml:space="preserve"> Bảng giá đất thương mại, dịch vụ và giá đất sản xuất, kinh doanh phi nông nghiệp không phải là đất thương mại, dịch vụ tại khu vực nông thôn: bằng 60% giá đất ở tại từng khu vực, vị trí tương ứng</w:t>
      </w:r>
      <w:r>
        <w:rPr>
          <w:rFonts w:hint="default" w:ascii="Times New Roman" w:hAnsi="Times New Roman" w:eastAsia="SimSun" w:cs="Times New Roman"/>
          <w:b w:val="0"/>
          <w:bCs w:val="0"/>
          <w:i w:val="0"/>
          <w:iCs w:val="0"/>
          <w:caps w:val="0"/>
          <w:color w:val="000000"/>
          <w:spacing w:val="0"/>
          <w:sz w:val="26"/>
          <w:szCs w:val="26"/>
          <w:shd w:val="clear" w:fill="FFFFFF"/>
        </w:rPr>
        <w:t> </w:t>
      </w:r>
      <w:r>
        <w:rPr>
          <w:rFonts w:hint="default" w:ascii="Times New Roman" w:hAnsi="Times New Roman" w:eastAsia="SimSun" w:cs="Times New Roman"/>
          <w:b w:val="0"/>
          <w:bCs w:val="0"/>
          <w:i w:val="0"/>
          <w:iCs w:val="0"/>
          <w:caps w:val="0"/>
          <w:color w:val="000000"/>
          <w:spacing w:val="0"/>
          <w:sz w:val="26"/>
          <w:szCs w:val="26"/>
          <w:shd w:val="clear" w:fill="FFFFFF"/>
          <w:lang/>
        </w:rPr>
        <w:t>quy định tại khoản 1 Điều này</w:t>
      </w:r>
      <w:r>
        <w:rPr>
          <w:rFonts w:hint="default" w:ascii="Times New Roman" w:hAnsi="Times New Roman" w:eastAsia="SimSun" w:cs="Times New Roman"/>
          <w:b w:val="0"/>
          <w:bCs w:val="0"/>
          <w:i w:val="0"/>
          <w:iCs w:val="0"/>
          <w:caps w:val="0"/>
          <w:color w:val="000000"/>
          <w:spacing w:val="0"/>
          <w:sz w:val="26"/>
          <w:szCs w:val="26"/>
          <w:shd w:val="clear" w:fill="FFFFFF"/>
        </w:rPr>
        <w:t>, nhưng không thấp hơn mức giá tối thiểu của khung giá đất của Chính phủ)</w:t>
      </w:r>
    </w:p>
    <w:p>
      <w:pPr>
        <w:rPr>
          <w:rFonts w:hint="default" w:ascii="Times New Roman" w:hAnsi="Times New Roman" w:cs="Times New Roman"/>
          <w:b/>
          <w:bCs/>
          <w:i w:val="0"/>
          <w:iCs w:val="0"/>
          <w:caps w:val="0"/>
          <w:color w:val="000000"/>
          <w:spacing w:val="0"/>
          <w:sz w:val="26"/>
          <w:szCs w:val="26"/>
        </w:rPr>
      </w:pPr>
      <w:r>
        <w:rPr>
          <w:rFonts w:hint="default" w:eastAsia="SimSun" w:cs="Times New Roman"/>
          <w:b/>
          <w:bCs/>
          <w:i w:val="0"/>
          <w:iCs w:val="0"/>
          <w:caps w:val="0"/>
          <w:color w:val="000000"/>
          <w:spacing w:val="0"/>
          <w:sz w:val="26"/>
          <w:szCs w:val="26"/>
          <w:shd w:val="clear" w:fill="FFFFFF"/>
          <w:lang w:val="en-US"/>
        </w:rPr>
        <w:t>6</w:t>
      </w:r>
      <w:r>
        <w:rPr>
          <w:rFonts w:hint="default" w:ascii="Times New Roman" w:hAnsi="Times New Roman" w:cs="Times New Roman"/>
          <w:b/>
          <w:bCs/>
          <w:i w:val="0"/>
          <w:iCs w:val="0"/>
          <w:caps w:val="0"/>
          <w:color w:val="000000"/>
          <w:spacing w:val="0"/>
          <w:sz w:val="26"/>
          <w:szCs w:val="26"/>
          <w:bdr w:val="none" w:color="auto" w:sz="0" w:space="0"/>
          <w:shd w:val="clear" w:fill="FFFFFF"/>
          <w:lang/>
        </w:rPr>
        <w:t>. Bảng giá đất ở trong đô thị</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lang/>
        </w:rPr>
        <w:t>(ĐVT: 1.000 đồng/m</w:t>
      </w:r>
      <w:r>
        <w:rPr>
          <w:rFonts w:hint="default" w:ascii="Times New Roman" w:hAnsi="Times New Roman" w:cs="Times New Roman"/>
          <w:i/>
          <w:iCs/>
          <w:caps w:val="0"/>
          <w:color w:val="000000"/>
          <w:spacing w:val="0"/>
          <w:sz w:val="26"/>
          <w:szCs w:val="26"/>
          <w:bdr w:val="none" w:color="auto" w:sz="0" w:space="0"/>
          <w:shd w:val="clear" w:fill="FFFFFF"/>
          <w:vertAlign w:val="superscript"/>
          <w:lang/>
        </w:rPr>
        <w:t>2</w:t>
      </w:r>
      <w:r>
        <w:rPr>
          <w:rFonts w:hint="default" w:ascii="Times New Roman" w:hAnsi="Times New Roman" w:cs="Times New Roman"/>
          <w:i/>
          <w:iCs/>
          <w:caps w:val="0"/>
          <w:color w:val="000000"/>
          <w:spacing w:val="0"/>
          <w:sz w:val="26"/>
          <w:szCs w:val="26"/>
          <w:bdr w:val="none" w:color="auto" w:sz="0" w:space="0"/>
          <w:shd w:val="clear" w:fill="FFFFFF"/>
          <w:lang/>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a) Áp dụng đối với các phường của thành phố Vũng Tàu</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48.772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34.140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24.386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19.509</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35.066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24.546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17.533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14.026</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26.878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18.815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13.439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10.751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4</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21.004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14.703</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10.502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8.402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6.301</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Riêng một số tuyến đường, đoạn đường sau đây: Trưng Trắc, Trưng Nhị, Ba Cu, Lý Thường Kiệt (đoạn từ Phạm Ngũ Lão đến Lê Quý Đôn), Trần Hưng Đạo, Đồ Chiểu (Đoạn từ Lý Thường Kiệt đến Lê Lai), Nguyễn Văn Trỗi, đường Thùy Vân, Hoàng Hoa Thám (đoạn từ Thuỳ Vân đến Võ Thị Sáu) có giá đất vị trí 1: 65.000.000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 vị trí 2: 45.500.000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 vị trí 3: 32.500.000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 vị trí 4: 26.000.000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 vị trí 5: 19.500.000 đồng/m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lang/>
        </w:rPr>
        <w:t>2</w:t>
      </w:r>
      <w:r>
        <w:rPr>
          <w:rFonts w:hint="default" w:ascii="Times New Roman" w:hAnsi="Times New Roman" w:cs="Times New Roman"/>
          <w:i w:val="0"/>
          <w:iCs w:val="0"/>
          <w:caps w:val="0"/>
          <w:color w:val="000000"/>
          <w:spacing w:val="0"/>
          <w:sz w:val="26"/>
          <w:szCs w:val="26"/>
          <w:bdr w:val="none" w:color="auto" w:sz="0" w:space="0"/>
          <w:shd w:val="clear" w:fill="FFFFFF"/>
          <w:lang/>
        </w:rPr>
        <w:t>.</w:t>
      </w:r>
    </w:p>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b) Áp dụng đối với các phường của thành phố Bà Rịa</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24.920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17.444</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12.460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9.968</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17.800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12.460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7.120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12.460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8.722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4.984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4</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8.722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6.105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4.361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3.489</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2.617</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c) Áp dụng đối với các phường của thị xã Phú Mỹ</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19.800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13.860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9.900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7.920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11.880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8.316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5.940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4.752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9.240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6.468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4.620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3.696</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4</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5.500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3.850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2.200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1.650</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d) Áp dụng đối với các thị trấn của huyện Châu Đức</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8.010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5.607</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4.005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3.204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6.052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4.236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3.026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2.421</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4.272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2.990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2.136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1.709</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4</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1.371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979</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783</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587</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đ) Áp dụng đối với các thị trấn của huyện Xuyên Mộc</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3.560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4.361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3.115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2.492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3.560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2.492</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1.780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1.424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4</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2.136</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1.495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1.068</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854</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641</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e) Áp dụng đối với các thị trấn của huyện Long Điền</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3.560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4.361</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3.115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2.492</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3.115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2.225</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1.780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1.335</w:t>
            </w:r>
          </w:p>
        </w:tc>
      </w:tr>
    </w:tbl>
    <w:p>
      <w:pPr>
        <w:pStyle w:val="8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lef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lang/>
        </w:rPr>
        <w:t>g) Áp dụng đối với các thị trấn của huyện Đất Đỏ</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8"/>
        <w:gridCol w:w="1376"/>
        <w:gridCol w:w="1291"/>
        <w:gridCol w:w="1291"/>
        <w:gridCol w:w="1291"/>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đường</w:t>
            </w:r>
          </w:p>
        </w:tc>
        <w:tc>
          <w:tcPr>
            <w:tcW w:w="80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1</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2</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3</w:t>
            </w:r>
          </w:p>
        </w:tc>
        <w:tc>
          <w:tcPr>
            <w:tcW w:w="7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4</w:t>
            </w:r>
          </w:p>
        </w:tc>
        <w:tc>
          <w:tcPr>
            <w:tcW w:w="650" w:type="pct"/>
            <w:tcBorders>
              <w:top w:val="single" w:color="auto" w:sz="8" w:space="0"/>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Vị trí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1</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8.900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6.230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4.450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3.560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2</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5.400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3.780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2.160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nil"/>
              <w:left w:val="single" w:color="auto" w:sz="8" w:space="0"/>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Loại 3</w:t>
            </w:r>
          </w:p>
        </w:tc>
        <w:tc>
          <w:tcPr>
            <w:tcW w:w="80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3.900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2.730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1.950</w:t>
            </w:r>
          </w:p>
        </w:tc>
        <w:tc>
          <w:tcPr>
            <w:tcW w:w="7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1.560</w:t>
            </w:r>
          </w:p>
        </w:tc>
        <w:tc>
          <w:tcPr>
            <w:tcW w:w="650" w:type="pct"/>
            <w:tcBorders>
              <w:top w:val="nil"/>
              <w:left w:val="nil"/>
              <w:bottom w:val="single" w:color="auto" w:sz="8" w:space="0"/>
              <w:right w:val="single" w:color="auto" w:sz="8" w:space="0"/>
            </w:tcBorders>
            <w:shd w:val="clear" w:color="auto" w:fill="FFFFFF"/>
            <w:vAlign w:val="center"/>
          </w:tcPr>
          <w:p>
            <w:pPr>
              <w:pStyle w:val="8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center"/>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lang/>
              </w:rPr>
              <w:t>1.170</w:t>
            </w:r>
          </w:p>
        </w:tc>
      </w:tr>
    </w:tbl>
    <w:p>
      <w:pPr>
        <w:numPr>
          <w:numId w:val="0"/>
        </w:numPr>
        <w:rPr>
          <w:rFonts w:hint="default" w:ascii="Times New Roman" w:hAnsi="Times New Roman" w:cs="Times New Roman"/>
          <w:sz w:val="26"/>
          <w:szCs w:val="26"/>
        </w:rPr>
      </w:pPr>
    </w:p>
    <w:p>
      <w:pPr>
        <w:numPr>
          <w:numId w:val="0"/>
        </w:numPr>
        <w:rPr>
          <w:rFonts w:hint="default" w:ascii="Times New Roman" w:hAnsi="Times New Roman" w:cs="Times New Roman"/>
          <w:sz w:val="26"/>
          <w:szCs w:val="26"/>
        </w:rPr>
      </w:pPr>
      <w:r>
        <w:rPr>
          <w:rFonts w:hint="default" w:eastAsia="SimSun" w:cs="Times New Roman"/>
          <w:b w:val="0"/>
          <w:bCs w:val="0"/>
          <w:i w:val="0"/>
          <w:iCs w:val="0"/>
          <w:caps w:val="0"/>
          <w:color w:val="000000"/>
          <w:spacing w:val="0"/>
          <w:sz w:val="26"/>
          <w:szCs w:val="26"/>
          <w:shd w:val="clear" w:fill="FFFFFF"/>
          <w:lang w:val="en-US"/>
        </w:rPr>
        <w:t xml:space="preserve">* </w:t>
      </w:r>
      <w:bookmarkStart w:id="0" w:name="_GoBack"/>
      <w:bookmarkEnd w:id="0"/>
      <w:r>
        <w:rPr>
          <w:rFonts w:hint="default" w:ascii="Times New Roman" w:hAnsi="Times New Roman" w:eastAsia="SimSun" w:cs="Times New Roman"/>
          <w:b w:val="0"/>
          <w:bCs w:val="0"/>
          <w:i w:val="0"/>
          <w:iCs w:val="0"/>
          <w:caps w:val="0"/>
          <w:color w:val="000000"/>
          <w:spacing w:val="0"/>
          <w:sz w:val="26"/>
          <w:szCs w:val="26"/>
          <w:shd w:val="clear" w:fill="FFFFFF"/>
        </w:rPr>
        <w:t>Bảng giá đất thương mại, dịch vụ và giá đất sản xuất, kinh doanh phi nông nghiệp không phải là đất thương mại, dịch vụ tại khu vực đô thị: bằng 60% giá đất ở tại từng tuyến đường, vị trí tương ứng</w:t>
      </w:r>
      <w:r>
        <w:rPr>
          <w:rFonts w:hint="default" w:ascii="Times New Roman" w:hAnsi="Times New Roman" w:eastAsia="SimSun" w:cs="Times New Roman"/>
          <w:b w:val="0"/>
          <w:bCs w:val="0"/>
          <w:i w:val="0"/>
          <w:iCs w:val="0"/>
          <w:caps w:val="0"/>
          <w:color w:val="000000"/>
          <w:spacing w:val="0"/>
          <w:sz w:val="26"/>
          <w:szCs w:val="26"/>
          <w:shd w:val="clear" w:fill="FFFFFF"/>
        </w:rPr>
        <w:t> </w:t>
      </w:r>
      <w:r>
        <w:rPr>
          <w:rFonts w:hint="default" w:ascii="Times New Roman" w:hAnsi="Times New Roman" w:eastAsia="SimSun" w:cs="Times New Roman"/>
          <w:b w:val="0"/>
          <w:bCs w:val="0"/>
          <w:i w:val="0"/>
          <w:iCs w:val="0"/>
          <w:caps w:val="0"/>
          <w:color w:val="000000"/>
          <w:spacing w:val="0"/>
          <w:sz w:val="26"/>
          <w:szCs w:val="26"/>
          <w:shd w:val="clear" w:fill="FFFFFF"/>
          <w:lang/>
        </w:rPr>
        <w:t>quy định tại khoản 1 Điều này</w:t>
      </w:r>
      <w:r>
        <w:rPr>
          <w:rFonts w:hint="default" w:ascii="Times New Roman" w:hAnsi="Times New Roman" w:eastAsia="SimSun" w:cs="Times New Roman"/>
          <w:b w:val="0"/>
          <w:bCs w:val="0"/>
          <w:i w:val="0"/>
          <w:iCs w:val="0"/>
          <w:caps w:val="0"/>
          <w:color w:val="000000"/>
          <w:spacing w:val="0"/>
          <w:sz w:val="26"/>
          <w:szCs w:val="26"/>
          <w:shd w:val="clear" w:fill="FFFFFF"/>
        </w:rPr>
        <w:t>, nhưng không thấp hơn mức giá tối thiểu của khung giá đất của Chính phủ).</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6D8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C725D7"/>
    <w:rsid w:val="47D03640"/>
    <w:rsid w:val="4C746D8B"/>
    <w:rsid w:val="54254B47"/>
    <w:rsid w:val="601F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Theme="minorEastAsia" w:cstheme="minorBidi"/>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21"/>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2023-04-14T01:49:00Z</dcterms:created>
  <dc:creator>admin</dc:creator>
  <cp:lastModifiedBy>Đặng Huyền Nhi</cp:lastModifiedBy>
  <dcterms:modified xsi:type="dcterms:W3CDTF">2023-04-14T01:55:58Z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412B5A629A214EDABD5ED4ADE01AFC9C</vt:lpwstr>
  </property>
</Properties>
</file>