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
        <w:tblW w:w="10252"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65"/>
        <w:gridCol w:w="8787"/>
      </w:tblGrid>
      <w:tr w:rsidR="00E542E4" w:rsidRPr="00E542E4" w:rsidTr="00E542E4">
        <w:trPr>
          <w:tblCellSpacing w:w="7" w:type="dxa"/>
        </w:trPr>
        <w:tc>
          <w:tcPr>
            <w:tcW w:w="1444"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542E4" w:rsidRPr="00E542E4" w:rsidRDefault="00E542E4" w:rsidP="00E542E4">
            <w:pPr>
              <w:spacing w:after="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b/>
                <w:bCs/>
                <w:color w:val="000000"/>
                <w:sz w:val="24"/>
                <w:szCs w:val="24"/>
              </w:rPr>
              <w:t>Mức lương tối thiểu vùng</w:t>
            </w:r>
          </w:p>
        </w:tc>
        <w:tc>
          <w:tcPr>
            <w:tcW w:w="8766"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542E4" w:rsidRPr="00E542E4" w:rsidRDefault="00E542E4" w:rsidP="00E542E4">
            <w:pPr>
              <w:spacing w:after="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b/>
                <w:bCs/>
                <w:color w:val="000000"/>
                <w:sz w:val="24"/>
                <w:szCs w:val="24"/>
              </w:rPr>
              <w:t>1. Vùng I, gồm các địa bàn:</w:t>
            </w:r>
          </w:p>
        </w:tc>
      </w:tr>
      <w:tr w:rsidR="00E542E4" w:rsidRPr="00E542E4" w:rsidTr="00E542E4">
        <w:trPr>
          <w:tblCellSpacing w:w="7" w:type="dxa"/>
        </w:trPr>
        <w:tc>
          <w:tcPr>
            <w:tcW w:w="1444"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542E4" w:rsidRPr="00E542E4" w:rsidRDefault="00E542E4" w:rsidP="00E542E4">
            <w:pPr>
              <w:spacing w:after="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b/>
                <w:bCs/>
                <w:color w:val="000000"/>
                <w:sz w:val="24"/>
                <w:szCs w:val="24"/>
              </w:rPr>
              <w:t>4.680.000 đồng/tháng hoặc 22.500 đồng/giờ</w:t>
            </w:r>
          </w:p>
        </w:tc>
        <w:tc>
          <w:tcPr>
            <w:tcW w:w="8766"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Các quận và các huyện Gia Lâm, Đông Anh Sóc Sơn, Thanh Trì, Thường Tín, Hoài Đức, Thạch Thất, Quốc Oai, Thanh Oai, Mê Linh, Chương Mỹ và thị xã Sơn Tây thuộc thành phố Hà Nội;</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Thành phố Hạ Long thuộc tỉnh Quảng Ninh;</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quận và các huyện Thủy Nguyên, An Dương An Lão. Vĩnh Bảo, Tiên Lãng, Cát Hải, Kiến Thụy thuộc thành phố Hai Phòng;</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quận thành phố Thủ Đức và các huyện Củ Chi, Hóc Môn, Bình Chánh, Nhà Bè thuộc thành phố Hồ Chí Minh;</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thành phố Biên Hòa, Long Khánh và các huyện Nhơn Trạch, Long Thành, Vĩnh Cửu, Trảng Bom, Xuân Lộc thuộc tỉnh Đông Nai;</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thành phố Thủ Dầu Một, Thuận An, Dĩ An, các thị xã Bến Cát, Tân Uyên và các huyện Bàu Bàng, Bắc Tân Uyên, Dầu Tiếng, Phú Giáo thuộc tỉnh Bình Dương;</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Thành phố Vũng Tàu, thị xã Phú Mỹ thuộc tỉnh Bà Rịa  - Vũng Tàu.</w:t>
            </w:r>
          </w:p>
        </w:tc>
      </w:tr>
      <w:tr w:rsidR="00E542E4" w:rsidRPr="00E542E4" w:rsidTr="00E542E4">
        <w:trPr>
          <w:tblCellSpacing w:w="7" w:type="dxa"/>
        </w:trPr>
        <w:tc>
          <w:tcPr>
            <w:tcW w:w="1444"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542E4" w:rsidRPr="00E542E4" w:rsidRDefault="00E542E4" w:rsidP="00E542E4">
            <w:pPr>
              <w:spacing w:after="0" w:line="276" w:lineRule="auto"/>
              <w:rPr>
                <w:rFonts w:ascii="Times New Roman" w:eastAsia="Times New Roman" w:hAnsi="Times New Roman" w:cs="Times New Roman"/>
                <w:color w:val="000000"/>
                <w:sz w:val="24"/>
                <w:szCs w:val="24"/>
              </w:rPr>
            </w:pPr>
          </w:p>
        </w:tc>
        <w:tc>
          <w:tcPr>
            <w:tcW w:w="8766"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542E4" w:rsidRPr="00E542E4" w:rsidRDefault="00E542E4" w:rsidP="00E542E4">
            <w:pPr>
              <w:spacing w:after="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b/>
                <w:bCs/>
                <w:color w:val="000000"/>
                <w:sz w:val="24"/>
                <w:szCs w:val="24"/>
              </w:rPr>
              <w:t>2. Vùng II, gồm các địa bàn:</w:t>
            </w:r>
          </w:p>
        </w:tc>
      </w:tr>
      <w:tr w:rsidR="00E542E4" w:rsidRPr="00E542E4" w:rsidTr="00E542E4">
        <w:trPr>
          <w:tblCellSpacing w:w="7" w:type="dxa"/>
        </w:trPr>
        <w:tc>
          <w:tcPr>
            <w:tcW w:w="1444"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542E4" w:rsidRPr="00E542E4" w:rsidRDefault="00E542E4" w:rsidP="00E542E4">
            <w:pPr>
              <w:spacing w:after="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b/>
                <w:bCs/>
                <w:color w:val="000000"/>
                <w:sz w:val="24"/>
                <w:szCs w:val="24"/>
              </w:rPr>
              <w:t>4.160.000 đồng/tháng hoặc 20.000 đồng/giờ</w:t>
            </w:r>
          </w:p>
        </w:tc>
        <w:tc>
          <w:tcPr>
            <w:tcW w:w="8766"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huyện còn lại thuộc thành phố Hà Nội;</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huyện còn lại thuộc thành phố Hải Phòng;</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Thành phố Hải Dương thuộc tỉnh Hải Dương;</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Thành phố Hưng Yên, thị xã Mỹ Hảo và các huyện Văn Lâm, Văn Giang, Yên Mỹ thuộc tỉnh Hưng Yên;</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thành phố Vĩnh Yên, Phúc Yên và các huyện Bình Xuyên, Yên Lạc thuộc tỉnh Vĩnh Phúc;</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thành phố Bắc Ninh, Từ Sơn và các huyện Quế Võ, Tiên Du, Yên Phong, Thuận Thành, Gia Bình, Lương Tài thuộc tỉnh Bắc Ninh;</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thành phố Cẩm Phả, Uông Bí, Móng Cái và các thị xã Quảng Yên, Đông Triều thuộc tỉnh Quang Ninh;</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lastRenderedPageBreak/>
              <w:t>- Các thành phố Thái Nguyên, Sông Công và Phổ Yên thuộc tỉnh Thái Nguyên;</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Thành phố Hoà Bình và huyện Lương Sơn thuộc tỉnh Hòa Bình;</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Thành phố Việt Trì thuộc tỉnh Phú Thọ;</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Thành phố Lào Cai thuộc tỉnh Lảo Cai;</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Thành phố Nam Định và huyện Mỹ Lộc thuộc tỉnh Nam Định;</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Thành phố Ninh Binh thuộc tỉnh Ninh Bình;</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Thành phố Vinh, thị xã Cửa Lò và các huyện Nghi Lộc, Hưng Nguyên thuộc tỉnh Nghệ An;</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Thành phố Đồng Hới thuộc tỉnh Quảng Bình;</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Thành phố Huế thuộc tỉnh Thừa Thiên Huế;</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thành phố Hội An, Tam Kỳ thuộc tỉnh Quảng Nam;</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quận, huyện thuộc thành phố Đà Nẵng;</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thành phố Nha Trang, Cam Ranh thuộc tỉnh Khánh Hòa;</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thành phố Đà Lạt, Bảo Lộc thuộc tỉnh Lâm Đồng;</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Thành phố Phan Thiết thuộc tỉnh Bình Thuận;</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Huyện Cần Giờ thuộc thành phố Hồ Chí Minh;</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Thành phố Tây Ninh, các thị xã Trảng Bàng, Hòa Thành và huyện Gò Dầu thuộc tỉnh Tây Ninh;</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huyện Định Quán, Thống Nhất thuộc tỉnh Đồng Nai;</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Thành phố Đồng Xoài và các huyện Chơn Thành, Đông Phú thuộc tỉnh Bình Phước;</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Thành phố Bà Rịa thuộc tỉnh Bà Rịa - Vũng Tàu;</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lastRenderedPageBreak/>
              <w:t>- Thành phố Tân An và các huyện Đức Hòa, Bến Lức, Thủ Thừa, Cần Đước, Cần Giuộc thuộc tỉnh Long An;</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Thành phố Mỹ Tho và huyện Châu Thành thuộc tỉnh Tiền Giang;</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Thành phố Bến Tre và huyện Châu Thành thuộc tỉnh Bến Tre;</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Thành phố Vĩnh Long và thị xã Bình Minh thuộc tỉnh Vĩnh Long;</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quận thuộc thành phố Cần Thơ;</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thành phố Rạch Giá, Hà Tiên, Phú Quốc thuộc tỉnh Kiên Giang;</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thành phố Long Xuyên, Châu Đốc thuộc tỉnh An Giang;</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Thành phố Trà Vinh thuộc tỉnh Trà Vinh;</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Thành phố Bạc Liêu thuộc tỉnh Bạc Liêu;</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Thành phố Cà Mau thuộc tỉnh Cà Mau.</w:t>
            </w:r>
          </w:p>
        </w:tc>
      </w:tr>
      <w:tr w:rsidR="00E542E4" w:rsidRPr="00E542E4" w:rsidTr="00E542E4">
        <w:trPr>
          <w:tblCellSpacing w:w="7" w:type="dxa"/>
        </w:trPr>
        <w:tc>
          <w:tcPr>
            <w:tcW w:w="1444"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542E4" w:rsidRPr="00E542E4" w:rsidRDefault="00E542E4" w:rsidP="00E542E4">
            <w:pPr>
              <w:spacing w:after="0" w:line="276" w:lineRule="auto"/>
              <w:rPr>
                <w:rFonts w:ascii="Times New Roman" w:eastAsia="Times New Roman" w:hAnsi="Times New Roman" w:cs="Times New Roman"/>
                <w:color w:val="000000"/>
                <w:sz w:val="24"/>
                <w:szCs w:val="24"/>
              </w:rPr>
            </w:pPr>
          </w:p>
        </w:tc>
        <w:tc>
          <w:tcPr>
            <w:tcW w:w="8766"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542E4" w:rsidRPr="00E542E4" w:rsidRDefault="00E542E4" w:rsidP="00E542E4">
            <w:pPr>
              <w:spacing w:after="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b/>
                <w:bCs/>
                <w:color w:val="000000"/>
                <w:sz w:val="24"/>
                <w:szCs w:val="24"/>
              </w:rPr>
              <w:t>3. Vùng III, gồm các địa bàn:</w:t>
            </w:r>
          </w:p>
        </w:tc>
      </w:tr>
      <w:tr w:rsidR="00E542E4" w:rsidRPr="00E542E4" w:rsidTr="00E542E4">
        <w:trPr>
          <w:trHeight w:val="5168"/>
          <w:tblCellSpacing w:w="7" w:type="dxa"/>
        </w:trPr>
        <w:tc>
          <w:tcPr>
            <w:tcW w:w="1444"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542E4" w:rsidRPr="00E542E4" w:rsidRDefault="00E542E4" w:rsidP="00E542E4">
            <w:pPr>
              <w:spacing w:after="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b/>
                <w:bCs/>
                <w:color w:val="000000"/>
                <w:sz w:val="24"/>
                <w:szCs w:val="24"/>
              </w:rPr>
              <w:t>3.640.000 đồng/tháng hoặc 17.500 đồng/giờ</w:t>
            </w:r>
          </w:p>
        </w:tc>
        <w:tc>
          <w:tcPr>
            <w:tcW w:w="8766"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thành phố trực thuộc tỉnh còn lại (trừ các thành phố trực thuộc tỉnh nêu tại vùng I, vùng II);</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Thị xã Kinh Môn và các huyện Cẩm Giàng, Nam Sách, Kim Thành, Gia Lộc, Bình Giang, Tứ Kỳ thuộc tỉnh Hải Dương;</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huyện Vĩnh Tường, Tam Đảo, Tam Dương, Lập Thạch, Sông Lô thuộc tỉnh Vĩnh Phúc;</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Thị xã Phú Thọ và các huyện Phù Ninh, Lâm Thao, Thanh Ba, Tam Nông thuộc tỉnh Phú Thọ;</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huyện Việt Yên, Yên Dũng, Hiệp Hòa, Tân Yên, Lạng Giang thuộc tỉnh Bắc Giang;</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huyện Vân Đồn, Hải Hà, Đầm Hà, Tiên Yên thuộc tỉnh Quảng Ninh;</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Thị xã Sa Pa, huyện Bảo Thắng thuộc tỉnh Lào Cai;</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huyện còn lại thuộc tỉnh Hưng Yên;</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lastRenderedPageBreak/>
              <w:t>- Các huyện Phú Bình, Phú Lương, Đồng Hỷ. Đại Từ thuộc tỉnh Thái Nguyên;</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huyện còn lại thuộc tỉnh Nam Định;</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Thị xã Duy Tiên và huyện Kim Bảng thuộc tỉnh Hà Nam;</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huyện Gia Viễn, Yên Khánh, Hoa Lư thuộc tỉnh Ninh Bình;</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thị xã Bỉm Sơn, Nghi Sơn và các huyện Đông Sơn, Quảng Xương thuộc tỉnh Thanh Hóa;</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huyện Quỳnh Lưu, Yên Thanh, Diễn Châu, Đô Lương, Nam Đàn, Nghĩa Đàn và các thị xã Thái Hòa, Hoàng Mai thuộc tỉnh Nghệ An;</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Thị xã Kỳ Anh thuộc tỉnh Hà Tĩnh;</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thị xã Hương Thủy, Hương Trà và các huyện Phú Lộc, Phong Điền, Quảng Điền, Phú Vang thuộc tỉnh Thừa Thiên Huế;</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Thị xã Điện Bàn và các huyện Đại Lộc, Duy Xuyên, Núi Thành, Quế Sơn, Thăng Bình, Phú Ninh thuộc tỉnh Quảng Nam;</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huyện Bình Sơn, Sơn Tinh thuộc tỉnh Quảng Ngãi;</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thị xã Sông cầu, Đông Hòa thuộc tỉnh Phú Yên;</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huyện Ninh Hải, Thuận Bắc thuộc tỉnh Ninh Thuận;</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Thị xã Ninh Hòa và các huyện Cam Lâm, Diên Khánh, Vạn Ninh thuộc tỉnh Khánh Hòa;</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Huyện Đăk Hà thuộc tỉnh Kon Tum;</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huyện Đức Trọng, Di Linh thuộc tỉnh Lâm Đồng;</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Thị xã La Gi và các huyện Hàm Thuận Bắc, Hàm Thuận Nam thuộc tỉnh Bình Thuận;</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thị xã Phước Long, Bình Long và các huyện Hớn Quản, Lộc Vinh, Phú Riêng thuộc tỉnh Bình Phước;</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huyện còn lại thuộc tỉnh Tây Ninh;</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lastRenderedPageBreak/>
              <w:t>- Các huyện còn lại thuộc tỉnh Đồng Nai;</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huyện Long Điền, Đất Đỏ, Xuyên Mộc, Châu Đức, Côn Đảo thuộc tỉnh Bà Rịa, Vũng Tàu;</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Thị xã Kiến Tường và các huyện Đức Huệ Châu Thành, Tân Trụ Thanh Hóa thuộc tỉnh Long An;</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thị xã Gò Công, Cai Lậy và các huyện Chợ Gạo, Tân Phước thuộc tỉnh Tiền Giang;</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huyện Ba Tri, Bình Đại, Mỏ Cày Nam thuộc tỉnh Bến Tre;</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huyện Mang Thít, Long Hồ thuộc tỉnh Vĩnh Long;</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huyện thuộc thành phố Cần Thơ;</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huyện Kiên Lương, Kiên Hải, Châu Thành thuộc tỉnh Kiên Giang;</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Thị xã Tân Châu và các huyện Châu Phú, Châu Thành, Thoại Sơn thuộc tỉnh An Giang;</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huyện Châu Thành, Châu Thành A thuộc tỉnh Hậu Giang;</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Thị xã Duyên Hải thuộc tỉnh Trà Vinh;</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Thị xã Giá Rai và huyện Hòa Bình thuộc tỉnh Bạc Liêu;</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thị xã Vĩnh Châu, Ngã Năm thuộc tỉnh Sóc Trăng;</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huyện Năm Căn, Cái Nước, U Minh, Trần Văn Thời thuộc tỉnh Cà Mau;</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color w:val="000000"/>
                <w:sz w:val="24"/>
                <w:szCs w:val="24"/>
              </w:rPr>
              <w:t>- Các huyện Lệ Thủy, Quang Ninh, Bố Trạch, Quảng Trạch và thị xã Ba Đồn thuộc tỉnh Quảng Bình.</w:t>
            </w:r>
          </w:p>
          <w:p w:rsidR="00E542E4" w:rsidRPr="00E542E4" w:rsidRDefault="00E542E4" w:rsidP="00E542E4">
            <w:pPr>
              <w:spacing w:before="100" w:beforeAutospacing="1" w:after="90" w:line="276" w:lineRule="auto"/>
              <w:rPr>
                <w:rFonts w:ascii="Times New Roman" w:eastAsia="Times New Roman" w:hAnsi="Times New Roman" w:cs="Times New Roman"/>
                <w:color w:val="000000"/>
                <w:sz w:val="24"/>
                <w:szCs w:val="24"/>
              </w:rPr>
            </w:pPr>
            <w:bookmarkStart w:id="0" w:name="_GoBack"/>
            <w:bookmarkEnd w:id="0"/>
          </w:p>
        </w:tc>
      </w:tr>
      <w:tr w:rsidR="00E542E4" w:rsidRPr="00E542E4" w:rsidTr="00E542E4">
        <w:trPr>
          <w:trHeight w:val="1055"/>
          <w:tblCellSpacing w:w="7" w:type="dxa"/>
        </w:trPr>
        <w:tc>
          <w:tcPr>
            <w:tcW w:w="1444"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542E4" w:rsidRPr="00E542E4" w:rsidRDefault="00E542E4" w:rsidP="00E542E4">
            <w:pPr>
              <w:spacing w:after="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b/>
                <w:bCs/>
                <w:color w:val="000000"/>
                <w:sz w:val="24"/>
                <w:szCs w:val="24"/>
              </w:rPr>
              <w:lastRenderedPageBreak/>
              <w:t>3.250.000 đồng/tháng hoặc 15.600 đồng/giờ</w:t>
            </w:r>
          </w:p>
        </w:tc>
        <w:tc>
          <w:tcPr>
            <w:tcW w:w="8766"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542E4" w:rsidRPr="00E542E4" w:rsidRDefault="00E542E4" w:rsidP="00E542E4">
            <w:pPr>
              <w:spacing w:after="0" w:line="276" w:lineRule="auto"/>
              <w:rPr>
                <w:rFonts w:ascii="Times New Roman" w:eastAsia="Times New Roman" w:hAnsi="Times New Roman" w:cs="Times New Roman"/>
                <w:color w:val="000000"/>
                <w:sz w:val="24"/>
                <w:szCs w:val="24"/>
              </w:rPr>
            </w:pPr>
            <w:r w:rsidRPr="00E542E4">
              <w:rPr>
                <w:rFonts w:ascii="Times New Roman" w:eastAsia="Times New Roman" w:hAnsi="Times New Roman" w:cs="Times New Roman"/>
                <w:b/>
                <w:bCs/>
                <w:color w:val="000000"/>
                <w:sz w:val="24"/>
                <w:szCs w:val="24"/>
              </w:rPr>
              <w:t>4. Vùng IV, gồm các địa bản còn lại.</w:t>
            </w:r>
          </w:p>
        </w:tc>
      </w:tr>
    </w:tbl>
    <w:p w:rsidR="006B507A" w:rsidRPr="00E542E4" w:rsidRDefault="006B507A" w:rsidP="00E542E4">
      <w:pPr>
        <w:spacing w:line="276" w:lineRule="auto"/>
        <w:rPr>
          <w:rFonts w:ascii="Times New Roman" w:hAnsi="Times New Roman" w:cs="Times New Roman"/>
          <w:sz w:val="24"/>
          <w:szCs w:val="24"/>
        </w:rPr>
      </w:pPr>
    </w:p>
    <w:sectPr w:rsidR="006B507A" w:rsidRPr="00E54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E4"/>
    <w:rsid w:val="006B507A"/>
    <w:rsid w:val="00E54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B52FB-8CF3-4A75-824D-AC07AB6E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42E4"/>
    <w:rPr>
      <w:b/>
      <w:bCs/>
    </w:rPr>
  </w:style>
  <w:style w:type="paragraph" w:styleId="NormalWeb">
    <w:name w:val="Normal (Web)"/>
    <w:basedOn w:val="Normal"/>
    <w:uiPriority w:val="99"/>
    <w:semiHidden/>
    <w:unhideWhenUsed/>
    <w:rsid w:val="00E542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21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2023-04-22T08:00:00Z</dcterms:created>
  <dcterms:modified xsi:type="dcterms:W3CDTF">2023-04-22T08:05:00Z</dcterms:modified>
</cp:coreProperties>
</file>