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886" w:rsidRDefault="00FA3886" w:rsidP="00FA3886">
      <w:r>
        <w:t>Nhóm 3: Các khoản thu phân chia theo tỷ lệ phần trăm (%) giữa ngân sách trung ương và ngân sách địa phương</w:t>
      </w:r>
    </w:p>
    <w:p w:rsidR="00FA3886" w:rsidRDefault="00FA3886" w:rsidP="00FA3886">
      <w:r>
        <w:t>Các khoản này bao gồm cả khoản tiền chậm nộp theo quy định của Luật quản lý thuế, gồm:</w:t>
      </w:r>
    </w:p>
    <w:p w:rsidR="00FA3886" w:rsidRDefault="00FA3886" w:rsidP="00FA3886"/>
    <w:p w:rsidR="00FA3886" w:rsidRDefault="00FA3886" w:rsidP="00FA3886">
      <w:r>
        <w:t>- Thuế giá trị gia tăng, bao gồm cả thuế giá trị gia tăng của các nhà thầu phụ phát sinh từ các hoạt động dịch vụ phục vụ hoạt động thăm dò và khai thác dầu, khí; không kể thuế giá trị gia tăng quy định tại điểm a và điểm đ khoản 1 Điều 3 Thông tư 342;</w:t>
      </w:r>
    </w:p>
    <w:p w:rsidR="00FA3886" w:rsidRDefault="00FA3886" w:rsidP="00FA3886"/>
    <w:p w:rsidR="00FA3886" w:rsidRDefault="00FA3886" w:rsidP="00FA3886">
      <w:r>
        <w:t>- Thuế thu nhập doanh nghiệp, bao gồm cả thuế thu nhập doanh nghiệp của các nhà thầu phụ phát sinh từ các hoạt động dịch vụ phục vụ hoạt động thăm dò và khai thác dầu, khí (kể cả thuế thu nhập từ chuyển nhượng vốn trong hoạt động dầu, khí); không kể thuế thu nhập doanh nghiệp quy định tại điểm đ khoản 1 Điều 3 Thông tư 342;</w:t>
      </w:r>
    </w:p>
    <w:p w:rsidR="00FA3886" w:rsidRDefault="00FA3886" w:rsidP="00FA3886"/>
    <w:p w:rsidR="00FA3886" w:rsidRDefault="00FA3886" w:rsidP="00FA3886">
      <w:r>
        <w:t>- Thuế thu nhập cá nhân;</w:t>
      </w:r>
    </w:p>
    <w:p w:rsidR="00FA3886" w:rsidRDefault="00FA3886" w:rsidP="00FA3886"/>
    <w:p w:rsidR="00FA3886" w:rsidRDefault="00FA3886" w:rsidP="00FA3886">
      <w:r>
        <w:t>- Thuế tiêu thụ đặc biệt, không kể thuế tiêu thụ đặc biệt quy định tại điểm c khoản 1 Điều 3 Thông tư 342;</w:t>
      </w:r>
    </w:p>
    <w:p w:rsidR="00FA3886" w:rsidRDefault="00FA3886" w:rsidP="00FA3886"/>
    <w:p w:rsidR="00FA3886" w:rsidRDefault="00FA3886" w:rsidP="00FA3886">
      <w:r>
        <w:t>- Thuế bảo vệ môi trường, không kể thuế bảo vệ môi trường quy định tại điểm d khoản 1 Điều 3 Thông tư 342.</w:t>
      </w:r>
    </w:p>
    <w:p w:rsidR="00FA3886" w:rsidRDefault="00FA3886" w:rsidP="00FA3886"/>
    <w:p w:rsidR="00FA3886" w:rsidRDefault="00FA3886" w:rsidP="00FA3886">
      <w:r>
        <w:t>Đối với thuế bảo vệ môi trường thu từ xăng dầu sản xuất trong nước, việc xác định số thu phát sinh căn cứ vào sản lượng do doanh nghiệp đầu mối bán ra trên thị trường và tỷ trọng tổng sản lượng xăng dầu sản xuất trong nước và tổng sản lượng xăng dầu nhập khẩu. Hằng năm, Bộ Tài chính xác định tỷ trọng này.</w:t>
      </w:r>
    </w:p>
    <w:p w:rsidR="00FA3886" w:rsidRDefault="00FA3886" w:rsidP="00FA3886"/>
    <w:p w:rsidR="00FA3886" w:rsidRDefault="00FA3886" w:rsidP="00FA3886">
      <w:r>
        <w:t>Nguồn thu của ngân sách địa phương bao gồm: Các khoản thu ngân sách địa phương hưởng 100%; Các khoản thu phân chia theo tỷ lệ phần trăm (%) giữa ngân sách trung ương và ngân sách địa phương; Thu bổ sung cân đối ngân sách, bổ sung có mục tiêu từ ngân sách trung ương; Thu chuyển nguồn của ngân sách địa phương từ năm trước chuyển sang.</w:t>
      </w:r>
    </w:p>
    <w:p w:rsidR="00FA3886" w:rsidRDefault="00FA3886" w:rsidP="00FA3886"/>
    <w:p w:rsidR="00792AE8" w:rsidRDefault="00FA3886" w:rsidP="00FA3886">
      <w:r>
        <w:t>Nguồn thu của ngân sách trung ương bao gồm: Các khoản thu ngân sách trung ương hưởng 100% và các khoản thu phân chia theo tỷ lệ phần trăm (%) giữa ngân sách trung ương và ngân sách địa phương.</w:t>
      </w:r>
      <w:bookmarkStart w:id="0" w:name="_GoBack"/>
      <w:bookmarkEnd w:id="0"/>
    </w:p>
    <w:sectPr w:rsidR="00792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886"/>
    <w:rsid w:val="00742722"/>
    <w:rsid w:val="00DF439B"/>
    <w:rsid w:val="00FA38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2023-09-21T07:17:00Z</dcterms:created>
  <dcterms:modified xsi:type="dcterms:W3CDTF">2023-09-21T07:18:00Z</dcterms:modified>
</cp:coreProperties>
</file>