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F3F9" w14:textId="77777777" w:rsidR="00417642" w:rsidRPr="00417642" w:rsidRDefault="00417642" w:rsidP="0041764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1764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PHỤ LỤC V</w:t>
      </w:r>
    </w:p>
    <w:p w14:paraId="5B16641B" w14:textId="77777777" w:rsidR="00417642" w:rsidRPr="00417642" w:rsidRDefault="00417642" w:rsidP="0041764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A76014"/>
          <w:sz w:val="27"/>
          <w:szCs w:val="27"/>
        </w:rPr>
      </w:pPr>
      <w:r w:rsidRPr="00417642">
        <w:rPr>
          <w:rFonts w:ascii="inherit" w:eastAsia="Times New Roman" w:hAnsi="inherit" w:cs="Arial"/>
          <w:b/>
          <w:bCs/>
          <w:color w:val="A76014"/>
          <w:sz w:val="27"/>
          <w:szCs w:val="27"/>
          <w:bdr w:val="none" w:sz="0" w:space="0" w:color="auto" w:frame="1"/>
        </w:rPr>
        <w:t>QUYẾT TOÁN THU VÀ QUYẾT TOÁN CHI</w:t>
      </w:r>
    </w:p>
    <w:p w14:paraId="050B590C" w14:textId="77777777" w:rsidR="00417642" w:rsidRPr="00417642" w:rsidRDefault="00417642" w:rsidP="0041764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A76014"/>
          <w:sz w:val="27"/>
          <w:szCs w:val="27"/>
        </w:rPr>
      </w:pPr>
      <w:r w:rsidRPr="00417642">
        <w:rPr>
          <w:rFonts w:ascii="inherit" w:eastAsia="Times New Roman" w:hAnsi="inherit" w:cs="Arial"/>
          <w:b/>
          <w:bCs/>
          <w:color w:val="A76014"/>
          <w:sz w:val="27"/>
          <w:szCs w:val="27"/>
          <w:bdr w:val="none" w:sz="0" w:space="0" w:color="auto" w:frame="1"/>
        </w:rPr>
        <w:t>CÁC KHOẢN CHI PHÍ ĐĂNG TẢI THÔNG TIN VỀ ĐẤU THẦU</w:t>
      </w:r>
    </w:p>
    <w:p w14:paraId="1F63D0CB" w14:textId="77777777" w:rsidR="00417642" w:rsidRPr="00417642" w:rsidRDefault="00417642" w:rsidP="0041764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A76014"/>
          <w:sz w:val="27"/>
          <w:szCs w:val="27"/>
        </w:rPr>
      </w:pPr>
      <w:r w:rsidRPr="00417642">
        <w:rPr>
          <w:rFonts w:ascii="inherit" w:eastAsia="Times New Roman" w:hAnsi="inherit" w:cs="Arial"/>
          <w:b/>
          <w:bCs/>
          <w:color w:val="A76014"/>
          <w:sz w:val="27"/>
          <w:szCs w:val="27"/>
          <w:bdr w:val="none" w:sz="0" w:space="0" w:color="auto" w:frame="1"/>
        </w:rPr>
        <w:t>VÀ LỰA CHỌN NHÀ THẦU QUA MẠNG</w:t>
      </w:r>
    </w:p>
    <w:p w14:paraId="534DAE66" w14:textId="77777777" w:rsidR="00417642" w:rsidRPr="00417642" w:rsidRDefault="00417642" w:rsidP="0041764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(Ban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hành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kèm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Thông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tư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liên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tịch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07/2015/TTLT-BKHĐT-BTC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08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9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2015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Bộ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Kế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hoạch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Đầu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tư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Bộ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Tài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chính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14:paraId="662850CD" w14:textId="77777777" w:rsidR="00417642" w:rsidRPr="00417642" w:rsidRDefault="00417642" w:rsidP="0041764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1764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A. QUYẾT TOÁN THU</w:t>
      </w:r>
    </w:p>
    <w:p w14:paraId="33B0A8D5" w14:textId="77777777" w:rsidR="00417642" w:rsidRPr="00417642" w:rsidRDefault="00417642" w:rsidP="0041764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Đơn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vị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tính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đồng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7298"/>
        <w:gridCol w:w="942"/>
      </w:tblGrid>
      <w:tr w:rsidR="00417642" w:rsidRPr="00417642" w14:paraId="17803331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9BD7C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70A2C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NỘI DUNG THU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E28CD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SỐ TIỀN</w:t>
            </w:r>
          </w:p>
        </w:tc>
      </w:tr>
      <w:tr w:rsidR="00417642" w:rsidRPr="00417642" w14:paraId="686398B8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895E0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DA7943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</w:t>
            </w: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SỐ (I+II+III+IV)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AAC60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0528828B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6AD60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6103E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KINH PHÍ NĂM TRƯỚC CHUYỂN SANG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A0898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764DCB94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24C15E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1B4029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PHÍ ĐĂNG TẢI THÔNG TIN VỀ ĐẤU THẦU TRÊN HỆ THỐNG MẠNG ĐẤU THẦU QUỐC GIA, BÁO ĐẦU THẤU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95F67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0EE57627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7F2D1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AEDC0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tải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báo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mời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tâm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báo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mời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sơ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FD6EF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1A1295E9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27C27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1B0AB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tải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báo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mời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chào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hàng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báo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mời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337B6B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770C9AF2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0DBD8C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D7CA6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tải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danh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sách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ngắn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3CF83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61CF107E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12542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F2BD1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PHÍ THAM GIA HỆ THỐNG MẠNG ĐẤU THẦU QUỐC GIA VÀ LỰA CHỌN NHÀ THẦU QUA MẠNG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0DEC6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3B811337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8A550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ACB59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phí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tham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47F4A4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2CA9C4E9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CB0470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62643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phí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tham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nộp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một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lần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khi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6AF8F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0CD18BDE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3EED2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DAF67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phí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duy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trì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dữ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liệu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nhà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nhà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tư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trên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ED656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150800B4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EF8968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738BE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phí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nộp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hồ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sơ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hồ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sơ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đề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xuất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8A251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2F4E6403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0FB5DB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C082CD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THU KHÁC (NẾU CÓ)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66D036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D5F8A00" w14:textId="77777777" w:rsidR="00417642" w:rsidRPr="00417642" w:rsidRDefault="00417642" w:rsidP="0041764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1764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B. QUYẾT TOÁN CHI</w:t>
      </w:r>
    </w:p>
    <w:p w14:paraId="053E03B6" w14:textId="77777777" w:rsidR="00417642" w:rsidRPr="00417642" w:rsidRDefault="00417642" w:rsidP="0041764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Đơn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vị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tính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đồng</w:t>
      </w:r>
      <w:proofErr w:type="spellEnd"/>
      <w:r w:rsidRPr="00417642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7912"/>
        <w:gridCol w:w="942"/>
      </w:tblGrid>
      <w:tr w:rsidR="00417642" w:rsidRPr="00417642" w14:paraId="1E9ABFF9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210B33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77235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NỘI DUNG CHI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50417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SỐ TIỀN</w:t>
            </w:r>
          </w:p>
        </w:tc>
      </w:tr>
      <w:tr w:rsidR="00417642" w:rsidRPr="00417642" w14:paraId="1B5CCF6A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3703A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B52076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 SỐ (I+II+III+IV)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B1BF9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55D3227A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DD293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D42CAB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THỰC HIỆN NGHĨA VỤ VỚI NGÂN SÁCH NHÀ NƯỚC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258BD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426DE43C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E77AA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18A54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CHO HOẠT ĐỘNG CỦA BÁO ĐẤU THẦU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47CA0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2D547C62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9B109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95494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LỰA CHỌN NHÀ THẦU QUA MẠNG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E6EFB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1CAB313E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49658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8602D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phục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vận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bao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gồm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E4648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4FA0297E" w14:textId="77777777" w:rsidTr="0041764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CDF61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626D7F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Thuê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đường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truyền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tiền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điện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0F7249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2F96154E" w14:textId="77777777" w:rsidTr="0041764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14:paraId="4E64B1D8" w14:textId="77777777" w:rsidR="00417642" w:rsidRPr="00417642" w:rsidRDefault="00417642" w:rsidP="00417642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79AF7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- Mua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sắm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bổ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sung,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thay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thế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nâng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cấp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thiết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bị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bản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quyền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phần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mềm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nâng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cấp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chỉnh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sửa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phần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mềm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ứng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0B3FF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39572999" w14:textId="77777777" w:rsidTr="0041764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14:paraId="2BBC18BF" w14:textId="77777777" w:rsidR="00417642" w:rsidRPr="00417642" w:rsidRDefault="00417642" w:rsidP="00417642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E0ED5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Bổ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sung 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nghiệp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chuyên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môn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vật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tư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BEB1B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2C227004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E3B4A9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6AEAE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cho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tổ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lưu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trữ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quản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lý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sở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dữ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liệu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trên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829A4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3C8EF3CF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01176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1AA4B3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cho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hoạt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giải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đáp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thắc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mắc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hỗ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trợ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sử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đào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nâng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cao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chuyên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môn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cho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cá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nhân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liên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trực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tiếp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đến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tác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hỗ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trợ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sử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vận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D2FC9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58B473DC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C121B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F81B4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khoản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khác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liên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trực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tiếp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đến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tiếp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xử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lý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hồ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sơ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tham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lựa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chọn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nhà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qua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ứng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thanh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toán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trực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tuyến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tích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hợp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với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nghệ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tin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khác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FC5CF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6D02B4C1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D9AB6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B4FF25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duy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bảo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dưỡng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định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kỳ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hoặc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yêu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kỹ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thuật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nghiệp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D3624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2D61B019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D3A5E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4E212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Chi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phí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thuê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để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đảm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bảo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thống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mạng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đấu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thầu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quốc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gia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hoạt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liên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tục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318FAC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3C670828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D772A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C1560E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CÁC KHOẢN CHI KHÁC PHỤC VỤ TRỰC TIẾP CHO VIỆC ĐĂNG TẢI THÔNG TIN VỀ ĐẤU THẦU VÀ </w:t>
            </w:r>
            <w:proofErr w:type="gramStart"/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LỰA  CHỌN</w:t>
            </w:r>
            <w:proofErr w:type="gramEnd"/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NHÀ THẦU QUA MẠNG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0F4216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417642" w:rsidRPr="00417642" w14:paraId="5DC042C2" w14:textId="77777777" w:rsidTr="004176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0A8EB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D16AA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DỰ PHÒNG</w:t>
            </w:r>
          </w:p>
          <w:p w14:paraId="3B6B42B0" w14:textId="77777777" w:rsidR="00417642" w:rsidRPr="00417642" w:rsidRDefault="00417642" w:rsidP="00417642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Tỷ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lệ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trích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5%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mục</w:t>
            </w:r>
            <w:proofErr w:type="spellEnd"/>
            <w:r w:rsidRPr="0041764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II+III+IV)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A25FE" w14:textId="77777777" w:rsidR="00417642" w:rsidRPr="00417642" w:rsidRDefault="00417642" w:rsidP="00417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54CADE" w14:textId="77777777" w:rsidR="00D60C34" w:rsidRDefault="00D60C34"/>
    <w:sectPr w:rsidR="00D60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42"/>
    <w:rsid w:val="001A4377"/>
    <w:rsid w:val="00417642"/>
    <w:rsid w:val="007D595D"/>
    <w:rsid w:val="00D6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F135"/>
  <w15:chartTrackingRefBased/>
  <w15:docId w15:val="{67D3F8F9-E4DD-4E42-B9E1-9412C584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7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76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1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642"/>
    <w:rPr>
      <w:b/>
      <w:bCs/>
    </w:rPr>
  </w:style>
  <w:style w:type="character" w:styleId="Emphasis">
    <w:name w:val="Emphasis"/>
    <w:basedOn w:val="DefaultParagraphFont"/>
    <w:uiPriority w:val="20"/>
    <w:qFormat/>
    <w:rsid w:val="004176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2023-06-09T04:05:00Z</dcterms:created>
  <dcterms:modified xsi:type="dcterms:W3CDTF">2023-06-09T04:05:00Z</dcterms:modified>
</cp:coreProperties>
</file>