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511"/>
        <w:gridCol w:w="5776"/>
      </w:tblGrid>
      <w:tr w:rsidR="00246A9C" w:rsidRPr="004477FD" w:rsidTr="00C918AE">
        <w:tc>
          <w:tcPr>
            <w:tcW w:w="3348" w:type="dxa"/>
            <w:shd w:val="clear" w:color="auto" w:fill="auto"/>
          </w:tcPr>
          <w:p w:rsidR="00246A9C" w:rsidRPr="004477FD" w:rsidRDefault="00246A9C" w:rsidP="00C918AE">
            <w:pPr>
              <w:spacing w:before="120"/>
              <w:jc w:val="center"/>
              <w:rPr>
                <w:rFonts w:ascii="Arial" w:hAnsi="Arial" w:cs="Arial"/>
                <w:b/>
                <w:sz w:val="20"/>
                <w:szCs w:val="20"/>
              </w:rPr>
            </w:pPr>
            <w:bookmarkStart w:id="0" w:name="_GoBack"/>
            <w:bookmarkEnd w:id="0"/>
            <w:r w:rsidRPr="004477FD">
              <w:rPr>
                <w:rFonts w:ascii="Arial" w:hAnsi="Arial" w:cs="Arial"/>
                <w:b/>
                <w:bCs/>
                <w:sz w:val="20"/>
                <w:szCs w:val="20"/>
                <w:lang w:val="en-US"/>
              </w:rPr>
              <w:t>BỘ NỘI VỤ</w:t>
            </w:r>
            <w:r w:rsidRPr="004477FD">
              <w:rPr>
                <w:rFonts w:ascii="Arial" w:hAnsi="Arial" w:cs="Arial"/>
                <w:b/>
                <w:bCs/>
                <w:sz w:val="20"/>
                <w:szCs w:val="20"/>
                <w:lang w:val="en-US"/>
              </w:rPr>
              <w:br/>
              <w:t>--------</w:t>
            </w:r>
          </w:p>
        </w:tc>
        <w:tc>
          <w:tcPr>
            <w:tcW w:w="5508" w:type="dxa"/>
            <w:shd w:val="clear" w:color="auto" w:fill="auto"/>
          </w:tcPr>
          <w:p w:rsidR="00246A9C" w:rsidRPr="004477FD" w:rsidRDefault="00246A9C" w:rsidP="00C918AE">
            <w:pPr>
              <w:spacing w:before="120"/>
              <w:jc w:val="center"/>
              <w:rPr>
                <w:rFonts w:ascii="Arial" w:hAnsi="Arial" w:cs="Arial"/>
                <w:sz w:val="20"/>
                <w:szCs w:val="20"/>
              </w:rPr>
            </w:pPr>
            <w:r w:rsidRPr="004477FD">
              <w:rPr>
                <w:rFonts w:ascii="Arial" w:hAnsi="Arial" w:cs="Arial"/>
                <w:b/>
                <w:sz w:val="20"/>
                <w:szCs w:val="20"/>
              </w:rPr>
              <w:t>CỘNG HÒA XÃ HỘI CHỦ NGHĨA VIỆT NAM</w:t>
            </w:r>
            <w:r w:rsidRPr="004477FD">
              <w:rPr>
                <w:rFonts w:ascii="Arial" w:hAnsi="Arial" w:cs="Arial"/>
                <w:b/>
                <w:sz w:val="20"/>
                <w:szCs w:val="20"/>
              </w:rPr>
              <w:br/>
              <w:t xml:space="preserve">Độc lập - Tự do - Hạnh phúc </w:t>
            </w:r>
            <w:r w:rsidRPr="004477FD">
              <w:rPr>
                <w:rFonts w:ascii="Arial" w:hAnsi="Arial" w:cs="Arial"/>
                <w:b/>
                <w:sz w:val="20"/>
                <w:szCs w:val="20"/>
              </w:rPr>
              <w:br/>
              <w:t>---------------</w:t>
            </w:r>
          </w:p>
        </w:tc>
      </w:tr>
      <w:tr w:rsidR="00246A9C" w:rsidRPr="004477FD" w:rsidTr="00C918AE">
        <w:tc>
          <w:tcPr>
            <w:tcW w:w="3348" w:type="dxa"/>
            <w:shd w:val="clear" w:color="auto" w:fill="auto"/>
          </w:tcPr>
          <w:p w:rsidR="00246A9C" w:rsidRPr="004477FD" w:rsidRDefault="00246A9C" w:rsidP="00C918AE">
            <w:pPr>
              <w:spacing w:before="120"/>
              <w:jc w:val="center"/>
              <w:rPr>
                <w:rFonts w:ascii="Arial" w:hAnsi="Arial" w:cs="Arial"/>
                <w:b/>
                <w:bCs/>
                <w:sz w:val="20"/>
                <w:szCs w:val="20"/>
                <w:lang w:val="en-US"/>
              </w:rPr>
            </w:pPr>
            <w:r w:rsidRPr="004477FD">
              <w:rPr>
                <w:rFonts w:ascii="Arial" w:hAnsi="Arial" w:cs="Arial"/>
                <w:sz w:val="20"/>
                <w:szCs w:val="20"/>
                <w:lang w:val="en-US"/>
              </w:rPr>
              <w:t>Số: 10/2023/TT-BNV</w:t>
            </w:r>
          </w:p>
        </w:tc>
        <w:tc>
          <w:tcPr>
            <w:tcW w:w="5508" w:type="dxa"/>
            <w:shd w:val="clear" w:color="auto" w:fill="auto"/>
          </w:tcPr>
          <w:p w:rsidR="00246A9C" w:rsidRPr="004477FD" w:rsidRDefault="00246A9C" w:rsidP="00C918AE">
            <w:pPr>
              <w:spacing w:before="120"/>
              <w:jc w:val="right"/>
              <w:rPr>
                <w:rFonts w:ascii="Arial" w:hAnsi="Arial" w:cs="Arial"/>
                <w:b/>
                <w:sz w:val="20"/>
                <w:szCs w:val="20"/>
              </w:rPr>
            </w:pPr>
            <w:r w:rsidRPr="004477FD">
              <w:rPr>
                <w:rFonts w:ascii="Arial" w:hAnsi="Arial" w:cs="Arial"/>
                <w:i/>
                <w:iCs/>
                <w:sz w:val="20"/>
                <w:szCs w:val="20"/>
              </w:rPr>
              <w:t>Hà Nội, ngày</w:t>
            </w:r>
            <w:r w:rsidRPr="004477FD">
              <w:rPr>
                <w:rFonts w:ascii="Arial" w:hAnsi="Arial" w:cs="Arial"/>
                <w:i/>
                <w:iCs/>
                <w:sz w:val="20"/>
                <w:szCs w:val="20"/>
                <w:lang w:val="en-US"/>
              </w:rPr>
              <w:t xml:space="preserve"> 26 </w:t>
            </w:r>
            <w:r w:rsidRPr="004477FD">
              <w:rPr>
                <w:rFonts w:ascii="Arial" w:hAnsi="Arial" w:cs="Arial"/>
                <w:i/>
                <w:iCs/>
                <w:sz w:val="20"/>
                <w:szCs w:val="20"/>
              </w:rPr>
              <w:t>tháng 6 năm 2023</w:t>
            </w:r>
          </w:p>
        </w:tc>
      </w:tr>
    </w:tbl>
    <w:p w:rsidR="00246A9C" w:rsidRPr="004477FD" w:rsidRDefault="00246A9C" w:rsidP="008E2826">
      <w:pPr>
        <w:pStyle w:val="BodyText"/>
        <w:widowControl/>
        <w:shd w:val="clear" w:color="auto" w:fill="auto"/>
        <w:spacing w:before="120" w:after="0" w:line="240" w:lineRule="auto"/>
        <w:ind w:firstLine="0"/>
        <w:rPr>
          <w:rFonts w:ascii="Arial" w:hAnsi="Arial" w:cs="Arial"/>
          <w:b/>
          <w:bCs/>
          <w:sz w:val="20"/>
          <w:szCs w:val="20"/>
          <w:lang w:val="en-US"/>
        </w:rPr>
      </w:pPr>
    </w:p>
    <w:p w:rsidR="00301BEF" w:rsidRPr="004477FD" w:rsidRDefault="00FE264C" w:rsidP="008E2826">
      <w:pPr>
        <w:pStyle w:val="BodyText"/>
        <w:widowControl/>
        <w:shd w:val="clear" w:color="auto" w:fill="auto"/>
        <w:spacing w:before="120" w:after="0" w:line="240" w:lineRule="auto"/>
        <w:ind w:firstLine="0"/>
        <w:jc w:val="center"/>
        <w:rPr>
          <w:rFonts w:ascii="Arial" w:hAnsi="Arial" w:cs="Arial"/>
          <w:b/>
          <w:bCs/>
          <w:sz w:val="24"/>
          <w:szCs w:val="20"/>
          <w:lang w:val="en-US"/>
        </w:rPr>
      </w:pPr>
      <w:bookmarkStart w:id="1" w:name="loai_1"/>
      <w:r w:rsidRPr="004477FD">
        <w:rPr>
          <w:rFonts w:ascii="Arial" w:hAnsi="Arial" w:cs="Arial"/>
          <w:b/>
          <w:bCs/>
          <w:sz w:val="24"/>
          <w:szCs w:val="20"/>
        </w:rPr>
        <w:t>THÔNG TƯ</w:t>
      </w:r>
      <w:bookmarkEnd w:id="1"/>
    </w:p>
    <w:p w:rsidR="000D4FB4" w:rsidRPr="004477FD" w:rsidRDefault="00FE264C" w:rsidP="008E2826">
      <w:pPr>
        <w:pStyle w:val="BodyText"/>
        <w:widowControl/>
        <w:shd w:val="clear" w:color="auto" w:fill="auto"/>
        <w:spacing w:before="120" w:after="0" w:line="240" w:lineRule="auto"/>
        <w:ind w:firstLine="0"/>
        <w:jc w:val="center"/>
        <w:rPr>
          <w:rFonts w:ascii="Arial" w:hAnsi="Arial" w:cs="Arial"/>
          <w:bCs/>
          <w:sz w:val="20"/>
          <w:szCs w:val="20"/>
        </w:rPr>
      </w:pPr>
      <w:bookmarkStart w:id="2" w:name="loai_1_name"/>
      <w:r w:rsidRPr="004477FD">
        <w:rPr>
          <w:rFonts w:ascii="Arial" w:hAnsi="Arial" w:cs="Arial"/>
          <w:bCs/>
          <w:sz w:val="20"/>
          <w:szCs w:val="20"/>
        </w:rPr>
        <w:t>HƯỚNG DẪN THỰC HIỆN MỨC LƯƠNG CƠ SỞ ĐỐI VỚI CÁC ĐỐI TƯỢNG HƯỞNG LƯƠNG, PHỤ CẤP TRONG CÁC CƠ QUAN, TỔ CHỨC, ĐƠN VỊ SỰ NGHIỆP CÔNG LẬP CỦA ĐẢNG, NHÀ NƯỚC, MẶT TRẬN TỔ QUỐC VIỆT NAM, TỔ CHỨC CHÍNH TRỊ - XÃ HỘI VÀ HỘI</w:t>
      </w:r>
      <w:bookmarkEnd w:id="2"/>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i/>
          <w:iCs/>
          <w:sz w:val="20"/>
          <w:szCs w:val="20"/>
        </w:rPr>
        <w:t>Căn cứ Nghị định s</w:t>
      </w:r>
      <w:r w:rsidRPr="004477FD">
        <w:rPr>
          <w:rFonts w:ascii="Arial" w:hAnsi="Arial" w:cs="Arial"/>
          <w:i/>
          <w:iCs/>
          <w:sz w:val="20"/>
          <w:szCs w:val="20"/>
          <w:lang w:val="en-US"/>
        </w:rPr>
        <w:t>ố</w:t>
      </w:r>
      <w:r w:rsidRPr="004477FD">
        <w:rPr>
          <w:rFonts w:ascii="Arial" w:hAnsi="Arial" w:cs="Arial"/>
          <w:i/>
          <w:iCs/>
          <w:sz w:val="20"/>
          <w:szCs w:val="20"/>
        </w:rPr>
        <w:t xml:space="preserve"> 63/2022/NĐ-CP ngày 12 tháng 9 năm 2022 của Chính phủ quy định chức năng, nhiệm vụ, quyền hạn và cơ cấu tổ chức của Bộ Nội vụ;</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i/>
          <w:iCs/>
          <w:sz w:val="20"/>
          <w:szCs w:val="20"/>
        </w:rPr>
        <w:t xml:space="preserve">Căn cứ </w:t>
      </w:r>
      <w:bookmarkStart w:id="3" w:name="dc_1"/>
      <w:r w:rsidR="004477FD" w:rsidRPr="004477FD">
        <w:rPr>
          <w:rFonts w:ascii="Arial" w:hAnsi="Arial" w:cs="Arial"/>
          <w:i/>
          <w:iCs/>
          <w:sz w:val="20"/>
          <w:szCs w:val="20"/>
        </w:rPr>
        <w:t>khoản</w:t>
      </w:r>
      <w:r w:rsidR="00E140CE" w:rsidRPr="004477FD">
        <w:rPr>
          <w:rFonts w:ascii="Arial" w:hAnsi="Arial" w:cs="Arial"/>
          <w:i/>
          <w:iCs/>
          <w:sz w:val="20"/>
          <w:szCs w:val="20"/>
        </w:rPr>
        <w:t xml:space="preserve"> 1 </w:t>
      </w:r>
      <w:r w:rsidR="004477FD" w:rsidRPr="004477FD">
        <w:rPr>
          <w:rFonts w:ascii="Arial" w:hAnsi="Arial" w:cs="Arial"/>
          <w:i/>
          <w:iCs/>
          <w:sz w:val="20"/>
          <w:szCs w:val="20"/>
        </w:rPr>
        <w:t>Điều</w:t>
      </w:r>
      <w:r w:rsidR="00E140CE" w:rsidRPr="004477FD">
        <w:rPr>
          <w:rFonts w:ascii="Arial" w:hAnsi="Arial" w:cs="Arial"/>
          <w:i/>
          <w:iCs/>
          <w:sz w:val="20"/>
          <w:szCs w:val="20"/>
        </w:rPr>
        <w:t xml:space="preserve"> 6 Nghị định số 24/2023/NĐ-CP</w:t>
      </w:r>
      <w:bookmarkEnd w:id="3"/>
      <w:r w:rsidRPr="004477FD">
        <w:rPr>
          <w:rFonts w:ascii="Arial" w:hAnsi="Arial" w:cs="Arial"/>
          <w:i/>
          <w:iCs/>
          <w:sz w:val="20"/>
          <w:szCs w:val="20"/>
        </w:rPr>
        <w:t xml:space="preserve"> ngày 14 tháng 5 năm 2023 của Ch</w:t>
      </w:r>
      <w:r w:rsidRPr="004477FD">
        <w:rPr>
          <w:rFonts w:ascii="Arial" w:hAnsi="Arial" w:cs="Arial"/>
          <w:i/>
          <w:iCs/>
          <w:sz w:val="20"/>
          <w:szCs w:val="20"/>
          <w:lang w:val="en-US"/>
        </w:rPr>
        <w:t>í</w:t>
      </w:r>
      <w:r w:rsidRPr="004477FD">
        <w:rPr>
          <w:rFonts w:ascii="Arial" w:hAnsi="Arial" w:cs="Arial"/>
          <w:i/>
          <w:iCs/>
          <w:sz w:val="20"/>
          <w:szCs w:val="20"/>
        </w:rPr>
        <w:t>nh phủ quy định mức lương cơ sở đ</w:t>
      </w:r>
      <w:r w:rsidRPr="004477FD">
        <w:rPr>
          <w:rFonts w:ascii="Arial" w:hAnsi="Arial" w:cs="Arial"/>
          <w:i/>
          <w:iCs/>
          <w:sz w:val="20"/>
          <w:szCs w:val="20"/>
          <w:lang w:val="en-US"/>
        </w:rPr>
        <w:t>ố</w:t>
      </w:r>
      <w:r w:rsidRPr="004477FD">
        <w:rPr>
          <w:rFonts w:ascii="Arial" w:hAnsi="Arial" w:cs="Arial"/>
          <w:i/>
          <w:iCs/>
          <w:sz w:val="20"/>
          <w:szCs w:val="20"/>
        </w:rPr>
        <w:t>i với cán bộ, công chức, viên chức và lực lượng vũ trang;</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i/>
          <w:iCs/>
          <w:sz w:val="20"/>
          <w:szCs w:val="20"/>
        </w:rPr>
        <w:t>Theo đề nghị của Vụ trưởng Vụ Tiền lương;</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i/>
          <w:iCs/>
          <w:sz w:val="20"/>
          <w:szCs w:val="20"/>
        </w:rPr>
        <w:t>Bộ trưởng Bộ Nội vụ ban hành Thông tư hướng dẫn thực hiện mức lương cơ sở đ</w:t>
      </w:r>
      <w:r w:rsidRPr="004477FD">
        <w:rPr>
          <w:rFonts w:ascii="Arial" w:hAnsi="Arial" w:cs="Arial"/>
          <w:i/>
          <w:iCs/>
          <w:sz w:val="20"/>
          <w:szCs w:val="20"/>
          <w:lang w:val="en-US"/>
        </w:rPr>
        <w:t>ố</w:t>
      </w:r>
      <w:r w:rsidRPr="004477FD">
        <w:rPr>
          <w:rFonts w:ascii="Arial" w:hAnsi="Arial" w:cs="Arial"/>
          <w:i/>
          <w:iCs/>
          <w:sz w:val="20"/>
          <w:szCs w:val="20"/>
        </w:rPr>
        <w:t>i với các đ</w:t>
      </w:r>
      <w:r w:rsidRPr="004477FD">
        <w:rPr>
          <w:rFonts w:ascii="Arial" w:hAnsi="Arial" w:cs="Arial"/>
          <w:i/>
          <w:iCs/>
          <w:sz w:val="20"/>
          <w:szCs w:val="20"/>
          <w:lang w:val="en-US"/>
        </w:rPr>
        <w:t>ố</w:t>
      </w:r>
      <w:r w:rsidRPr="004477FD">
        <w:rPr>
          <w:rFonts w:ascii="Arial" w:hAnsi="Arial" w:cs="Arial"/>
          <w:i/>
          <w:iCs/>
          <w:sz w:val="20"/>
          <w:szCs w:val="20"/>
        </w:rPr>
        <w:t>i tượng hưởng lương, phụ cấp trong các cơ quan, t</w:t>
      </w:r>
      <w:r w:rsidRPr="004477FD">
        <w:rPr>
          <w:rFonts w:ascii="Arial" w:hAnsi="Arial" w:cs="Arial"/>
          <w:i/>
          <w:iCs/>
          <w:sz w:val="20"/>
          <w:szCs w:val="20"/>
          <w:lang w:val="en-US"/>
        </w:rPr>
        <w:t>ổ</w:t>
      </w:r>
      <w:r w:rsidRPr="004477FD">
        <w:rPr>
          <w:rFonts w:ascii="Arial" w:hAnsi="Arial" w:cs="Arial"/>
          <w:i/>
          <w:iCs/>
          <w:sz w:val="20"/>
          <w:szCs w:val="20"/>
        </w:rPr>
        <w:t xml:space="preserve"> chức, đơn vị sự nghiệp công lập của Đảng, Nhà nước, Mặt trận T</w:t>
      </w:r>
      <w:r w:rsidRPr="004477FD">
        <w:rPr>
          <w:rFonts w:ascii="Arial" w:hAnsi="Arial" w:cs="Arial"/>
          <w:i/>
          <w:iCs/>
          <w:sz w:val="20"/>
          <w:szCs w:val="20"/>
          <w:lang w:val="en-US"/>
        </w:rPr>
        <w:t>ổ</w:t>
      </w:r>
      <w:r w:rsidRPr="004477FD">
        <w:rPr>
          <w:rFonts w:ascii="Arial" w:hAnsi="Arial" w:cs="Arial"/>
          <w:i/>
          <w:iCs/>
          <w:sz w:val="20"/>
          <w:szCs w:val="20"/>
        </w:rPr>
        <w:t xml:space="preserve"> quốc Việt Nam, tổ chức chính trị - xã hội và hội.</w:t>
      </w:r>
    </w:p>
    <w:p w:rsidR="000D4FB4" w:rsidRPr="004477FD" w:rsidRDefault="004477FD" w:rsidP="008E2826">
      <w:pPr>
        <w:pStyle w:val="BodyText"/>
        <w:widowControl/>
        <w:shd w:val="clear" w:color="auto" w:fill="auto"/>
        <w:spacing w:before="120" w:after="0" w:line="240" w:lineRule="auto"/>
        <w:ind w:firstLine="0"/>
        <w:rPr>
          <w:rFonts w:ascii="Arial" w:hAnsi="Arial" w:cs="Arial"/>
          <w:sz w:val="20"/>
          <w:szCs w:val="20"/>
        </w:rPr>
      </w:pPr>
      <w:bookmarkStart w:id="4" w:name="dieu_1"/>
      <w:r w:rsidRPr="004477FD">
        <w:rPr>
          <w:rFonts w:ascii="Arial" w:hAnsi="Arial" w:cs="Arial"/>
          <w:b/>
          <w:bCs/>
          <w:sz w:val="20"/>
          <w:szCs w:val="20"/>
        </w:rPr>
        <w:t>Điều</w:t>
      </w:r>
      <w:r w:rsidR="000D4FB4" w:rsidRPr="004477FD">
        <w:rPr>
          <w:rFonts w:ascii="Arial" w:hAnsi="Arial" w:cs="Arial"/>
          <w:b/>
          <w:bCs/>
          <w:sz w:val="20"/>
          <w:szCs w:val="20"/>
        </w:rPr>
        <w:t xml:space="preserve"> 1. Đối tượng áp dụng</w:t>
      </w:r>
      <w:bookmarkEnd w:id="4"/>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1. </w:t>
      </w:r>
      <w:r w:rsidRPr="004477FD">
        <w:rPr>
          <w:rFonts w:ascii="Arial" w:hAnsi="Arial" w:cs="Arial"/>
          <w:sz w:val="20"/>
          <w:szCs w:val="20"/>
        </w:rPr>
        <w:t>Cán bộ, công chức hưởng lương từ ngân sách nhà nước làm việc trong các cơ quan Đảng, Nhà nước, Mặt trận Tổ quốc Việt Nam, tổ chức chính trị - xã hội ở Trung ương; ở tỉnh, thành phố trực thuộc Trung ương; ở huyện, quận, thị xã, thành phố thuộc tỉnh, thành phố thuộc thành phố trực thuộc Trung ương; ở đơn vị hành chính - kinh tế đặc biệt.</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2. </w:t>
      </w:r>
      <w:r w:rsidRPr="004477FD">
        <w:rPr>
          <w:rFonts w:ascii="Arial" w:hAnsi="Arial" w:cs="Arial"/>
          <w:sz w:val="20"/>
          <w:szCs w:val="20"/>
        </w:rPr>
        <w:t xml:space="preserve">Viên chức hưởng lương từ </w:t>
      </w:r>
      <w:r w:rsidRPr="004477FD">
        <w:rPr>
          <w:rFonts w:ascii="Arial" w:hAnsi="Arial" w:cs="Arial"/>
          <w:sz w:val="20"/>
          <w:szCs w:val="20"/>
          <w:lang w:val="en-US"/>
        </w:rPr>
        <w:t xml:space="preserve">quỹ </w:t>
      </w:r>
      <w:r w:rsidRPr="004477FD">
        <w:rPr>
          <w:rFonts w:ascii="Arial" w:hAnsi="Arial" w:cs="Arial"/>
          <w:sz w:val="20"/>
          <w:szCs w:val="20"/>
        </w:rPr>
        <w:t>lương của đơn vị sự nghiệp công lập theo quy định của pháp luật (bao gồm cả trường h</w:t>
      </w:r>
      <w:r w:rsidRPr="004477FD">
        <w:rPr>
          <w:rFonts w:ascii="Arial" w:hAnsi="Arial" w:cs="Arial"/>
          <w:sz w:val="20"/>
          <w:szCs w:val="20"/>
          <w:lang w:val="en-US"/>
        </w:rPr>
        <w:t>ợ</w:t>
      </w:r>
      <w:r w:rsidRPr="004477FD">
        <w:rPr>
          <w:rFonts w:ascii="Arial" w:hAnsi="Arial" w:cs="Arial"/>
          <w:sz w:val="20"/>
          <w:szCs w:val="20"/>
        </w:rPr>
        <w:t xml:space="preserve">p quy định tại </w:t>
      </w:r>
      <w:bookmarkStart w:id="5" w:name="dc_2"/>
      <w:r w:rsidR="004477FD" w:rsidRPr="004477FD">
        <w:rPr>
          <w:rFonts w:ascii="Arial" w:hAnsi="Arial" w:cs="Arial"/>
          <w:sz w:val="20"/>
          <w:szCs w:val="20"/>
        </w:rPr>
        <w:t>khoản</w:t>
      </w:r>
      <w:r w:rsidRPr="004477FD">
        <w:rPr>
          <w:rFonts w:ascii="Arial" w:hAnsi="Arial" w:cs="Arial"/>
          <w:sz w:val="20"/>
          <w:szCs w:val="20"/>
        </w:rPr>
        <w:t xml:space="preserve"> 19 </w:t>
      </w:r>
      <w:r w:rsidR="004477FD" w:rsidRPr="004477FD">
        <w:rPr>
          <w:rFonts w:ascii="Arial" w:hAnsi="Arial" w:cs="Arial"/>
          <w:sz w:val="20"/>
          <w:szCs w:val="20"/>
        </w:rPr>
        <w:t>Điều</w:t>
      </w:r>
      <w:r w:rsidRPr="004477FD">
        <w:rPr>
          <w:rFonts w:ascii="Arial" w:hAnsi="Arial" w:cs="Arial"/>
          <w:sz w:val="20"/>
          <w:szCs w:val="20"/>
        </w:rPr>
        <w:t xml:space="preserve"> 1 Luật sửa đổi, bổ sung một số </w:t>
      </w:r>
      <w:r w:rsidR="004477FD" w:rsidRPr="004477FD">
        <w:rPr>
          <w:rFonts w:ascii="Arial" w:hAnsi="Arial" w:cs="Arial"/>
          <w:sz w:val="20"/>
          <w:szCs w:val="20"/>
        </w:rPr>
        <w:t>điều</w:t>
      </w:r>
      <w:r w:rsidRPr="004477FD">
        <w:rPr>
          <w:rFonts w:ascii="Arial" w:hAnsi="Arial" w:cs="Arial"/>
          <w:sz w:val="20"/>
          <w:szCs w:val="20"/>
        </w:rPr>
        <w:t xml:space="preserve"> của Luật Cán bộ, công chức và Luật Viên chức năm 2019</w:t>
      </w:r>
      <w:bookmarkEnd w:id="5"/>
      <w:r w:rsidRPr="004477FD">
        <w:rPr>
          <w:rFonts w:ascii="Arial" w:hAnsi="Arial" w:cs="Arial"/>
          <w:sz w:val="20"/>
          <w:szCs w:val="20"/>
        </w:rPr>
        <w:t>).</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3. </w:t>
      </w:r>
      <w:r w:rsidRPr="004477FD">
        <w:rPr>
          <w:rFonts w:ascii="Arial" w:hAnsi="Arial" w:cs="Arial"/>
          <w:sz w:val="20"/>
          <w:szCs w:val="20"/>
        </w:rPr>
        <w:t>Cán bộ, công chức, viên chức được cấp có thẩm quyền cử đến làm việc tại các hội, tổ chức phi Chính phủ, dự án và cơ quan, t</w:t>
      </w:r>
      <w:r w:rsidRPr="004477FD">
        <w:rPr>
          <w:rFonts w:ascii="Arial" w:hAnsi="Arial" w:cs="Arial"/>
          <w:sz w:val="20"/>
          <w:szCs w:val="20"/>
          <w:lang w:val="en-US"/>
        </w:rPr>
        <w:t>ổ</w:t>
      </w:r>
      <w:r w:rsidRPr="004477FD">
        <w:rPr>
          <w:rFonts w:ascii="Arial" w:hAnsi="Arial" w:cs="Arial"/>
          <w:sz w:val="20"/>
          <w:szCs w:val="20"/>
        </w:rPr>
        <w:t xml:space="preserve"> chức quốc tế đặt tại Việt Nam mà vẫn được hưởng lương theo bảng lương ban hành kèm theo Nghị định số 204/2004/NĐ-CP ngày 14 tháng 12 năm 2004 của Chính phủ về chế độ tiền lương đối với cán bộ, công chức, viên chức và lực lượng vũ trang.</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4. </w:t>
      </w:r>
      <w:r w:rsidRPr="004477FD">
        <w:rPr>
          <w:rFonts w:ascii="Arial" w:hAnsi="Arial" w:cs="Arial"/>
          <w:sz w:val="20"/>
          <w:szCs w:val="20"/>
        </w:rPr>
        <w:t>Người làm việc trong chỉ tiêu biên chế được cấp có thẩm quyền giao tại các hội do Đảng, Nhà nước giao nhiệm vụ được ngân sách nhà nước hỗ trợ kinh phí theo quy định tại Nghị định số 45/2010/NĐ-CP ngày 21 tháng 4 năm 2010 của Chính phủ quy định về tổ chức, hoạt động và quản lý hội (sửa đổi, bổ sung tại Nghị định số 33/2012/NĐ-CP ngày 13 tháng 4 năm 2012 của Chính phủ).</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5. </w:t>
      </w:r>
      <w:r w:rsidRPr="004477FD">
        <w:rPr>
          <w:rFonts w:ascii="Arial" w:hAnsi="Arial" w:cs="Arial"/>
          <w:sz w:val="20"/>
          <w:szCs w:val="20"/>
        </w:rPr>
        <w:t>Cán bộ, công chức ở xã, phường, thị trấn và những người hoạt động không chuyên trách ở cấp xã, ở thôn, tổ dân phố quy định tại các văn bản sau:</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a) </w:t>
      </w:r>
      <w:r w:rsidRPr="004477FD">
        <w:rPr>
          <w:rFonts w:ascii="Arial" w:hAnsi="Arial" w:cs="Arial"/>
          <w:sz w:val="20"/>
          <w:szCs w:val="20"/>
        </w:rPr>
        <w:t xml:space="preserve">Từ ngày 01 tháng 7 năm 2023 thực hiện theo quy định tại Nghị định số </w:t>
      </w:r>
      <w:r w:rsidRPr="004477FD">
        <w:rPr>
          <w:rFonts w:ascii="Arial" w:hAnsi="Arial" w:cs="Arial"/>
          <w:sz w:val="20"/>
          <w:szCs w:val="20"/>
          <w:lang w:val="en-US" w:eastAsia="en-US" w:bidi="en-US"/>
        </w:rPr>
        <w:t xml:space="preserve">92/2009/NĐ-CP </w:t>
      </w:r>
      <w:r w:rsidRPr="004477FD">
        <w:rPr>
          <w:rFonts w:ascii="Arial" w:hAnsi="Arial" w:cs="Arial"/>
          <w:sz w:val="20"/>
          <w:szCs w:val="20"/>
        </w:rPr>
        <w:t>ngày 22 tháng 10 năm 2009 của Chính phủ về chức danh, số lượng, một số chế độ, chính sách đối với cán bộ, công chức ở xã, phường, thị trấn và những người hoạt động không chuyên trách ở c</w:t>
      </w:r>
      <w:r w:rsidRPr="004477FD">
        <w:rPr>
          <w:rFonts w:ascii="Arial" w:hAnsi="Arial" w:cs="Arial"/>
          <w:sz w:val="20"/>
          <w:szCs w:val="20"/>
          <w:lang w:val="en-US"/>
        </w:rPr>
        <w:t>ấ</w:t>
      </w:r>
      <w:r w:rsidRPr="004477FD">
        <w:rPr>
          <w:rFonts w:ascii="Arial" w:hAnsi="Arial" w:cs="Arial"/>
          <w:sz w:val="20"/>
          <w:szCs w:val="20"/>
        </w:rPr>
        <w:t>p xã (sửa đ</w:t>
      </w:r>
      <w:r w:rsidRPr="004477FD">
        <w:rPr>
          <w:rFonts w:ascii="Arial" w:hAnsi="Arial" w:cs="Arial"/>
          <w:sz w:val="20"/>
          <w:szCs w:val="20"/>
          <w:lang w:val="en-US"/>
        </w:rPr>
        <w:t>ổ</w:t>
      </w:r>
      <w:r w:rsidRPr="004477FD">
        <w:rPr>
          <w:rFonts w:ascii="Arial" w:hAnsi="Arial" w:cs="Arial"/>
          <w:sz w:val="20"/>
          <w:szCs w:val="20"/>
        </w:rPr>
        <w:t>i, b</w:t>
      </w:r>
      <w:r w:rsidRPr="004477FD">
        <w:rPr>
          <w:rFonts w:ascii="Arial" w:hAnsi="Arial" w:cs="Arial"/>
          <w:sz w:val="20"/>
          <w:szCs w:val="20"/>
          <w:lang w:val="en-US"/>
        </w:rPr>
        <w:t>ổ</w:t>
      </w:r>
      <w:r w:rsidRPr="004477FD">
        <w:rPr>
          <w:rFonts w:ascii="Arial" w:hAnsi="Arial" w:cs="Arial"/>
          <w:sz w:val="20"/>
          <w:szCs w:val="20"/>
        </w:rPr>
        <w:t xml:space="preserve"> sung tại Nghị định số 34/2019/NĐ-CP ngày 24 tháng 4 năm 2019 của Chính phủ).</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b) </w:t>
      </w:r>
      <w:r w:rsidRPr="004477FD">
        <w:rPr>
          <w:rFonts w:ascii="Arial" w:hAnsi="Arial" w:cs="Arial"/>
          <w:sz w:val="20"/>
          <w:szCs w:val="20"/>
        </w:rPr>
        <w:t>Từ ngày 01 tháng 8 năm 2023 thực hiện theo quy định tại Nghị định số 33/2023/NĐ-CP ngày 10 tháng 6 năm 2023 của Chính phủ quy định về cán bộ, công chức cấp xã và người hoạt động không chuyên trách ở cấp xã, ở thôn, tổ dân phố.</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6. </w:t>
      </w:r>
      <w:r w:rsidRPr="004477FD">
        <w:rPr>
          <w:rFonts w:ascii="Arial" w:hAnsi="Arial" w:cs="Arial"/>
          <w:sz w:val="20"/>
          <w:szCs w:val="20"/>
        </w:rPr>
        <w:t>Đại biểu Hội đồng nhân dân các cấp hưởng hoạt động phí theo quy định của pháp luật hiện hành.</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7. </w:t>
      </w:r>
      <w:r w:rsidRPr="004477FD">
        <w:rPr>
          <w:rFonts w:ascii="Arial" w:hAnsi="Arial" w:cs="Arial"/>
          <w:sz w:val="20"/>
          <w:szCs w:val="20"/>
        </w:rPr>
        <w:t>Người làm việc trong tổ chức cơ yếu.</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8. </w:t>
      </w:r>
      <w:r w:rsidRPr="004477FD">
        <w:rPr>
          <w:rFonts w:ascii="Arial" w:hAnsi="Arial" w:cs="Arial"/>
          <w:sz w:val="20"/>
          <w:szCs w:val="20"/>
        </w:rPr>
        <w:t>Người làm các công việc theo chế độ hợp đồng lao động quy định tại Nghị định số</w:t>
      </w:r>
      <w:r w:rsidRPr="004477FD">
        <w:rPr>
          <w:rFonts w:ascii="Arial" w:hAnsi="Arial" w:cs="Arial"/>
          <w:sz w:val="20"/>
          <w:szCs w:val="20"/>
          <w:lang w:val="en-US"/>
        </w:rPr>
        <w:t xml:space="preserve"> 111</w:t>
      </w:r>
      <w:r w:rsidRPr="004477FD">
        <w:rPr>
          <w:rFonts w:ascii="Arial" w:hAnsi="Arial" w:cs="Arial"/>
          <w:sz w:val="20"/>
          <w:szCs w:val="20"/>
        </w:rPr>
        <w:t>/2022/NĐ-CP ngày 30 tháng 12 năm 2022 của Chính phủ về h</w:t>
      </w:r>
      <w:r w:rsidRPr="004477FD">
        <w:rPr>
          <w:rFonts w:ascii="Arial" w:hAnsi="Arial" w:cs="Arial"/>
          <w:sz w:val="20"/>
          <w:szCs w:val="20"/>
          <w:lang w:val="en-US"/>
        </w:rPr>
        <w:t>ợ</w:t>
      </w:r>
      <w:r w:rsidRPr="004477FD">
        <w:rPr>
          <w:rFonts w:ascii="Arial" w:hAnsi="Arial" w:cs="Arial"/>
          <w:sz w:val="20"/>
          <w:szCs w:val="20"/>
        </w:rPr>
        <w:t>p đồng đối với một số loại công việc trong cơ quan hành chính và đơn vị sự nghiệp công lập thuộc trường hợp được áp dụng hoặc có thỏa thuận trong h</w:t>
      </w:r>
      <w:r w:rsidRPr="004477FD">
        <w:rPr>
          <w:rFonts w:ascii="Arial" w:hAnsi="Arial" w:cs="Arial"/>
          <w:sz w:val="20"/>
          <w:szCs w:val="20"/>
          <w:lang w:val="en-US"/>
        </w:rPr>
        <w:t>ợ</w:t>
      </w:r>
      <w:r w:rsidRPr="004477FD">
        <w:rPr>
          <w:rFonts w:ascii="Arial" w:hAnsi="Arial" w:cs="Arial"/>
          <w:sz w:val="20"/>
          <w:szCs w:val="20"/>
        </w:rPr>
        <w:t>p đồng lao động áp dụng xếp lương theo Nghị định số 204/2004/NĐ-CP ngày 14 tháng 12 năm 2004 của Chính phủ về chế độ tiền lương đ</w:t>
      </w:r>
      <w:r w:rsidRPr="004477FD">
        <w:rPr>
          <w:rFonts w:ascii="Arial" w:hAnsi="Arial" w:cs="Arial"/>
          <w:sz w:val="20"/>
          <w:szCs w:val="20"/>
          <w:lang w:val="en-US"/>
        </w:rPr>
        <w:t>ố</w:t>
      </w:r>
      <w:r w:rsidRPr="004477FD">
        <w:rPr>
          <w:rFonts w:ascii="Arial" w:hAnsi="Arial" w:cs="Arial"/>
          <w:sz w:val="20"/>
          <w:szCs w:val="20"/>
        </w:rPr>
        <w:t>i với cán bộ, công chức, viên chức và lực lượng vũ trang.</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9. </w:t>
      </w:r>
      <w:r w:rsidRPr="004477FD">
        <w:rPr>
          <w:rFonts w:ascii="Arial" w:hAnsi="Arial" w:cs="Arial"/>
          <w:sz w:val="20"/>
          <w:szCs w:val="20"/>
        </w:rPr>
        <w:t xml:space="preserve">Các đối tượng sau đây được áp dụng </w:t>
      </w:r>
      <w:r w:rsidR="004477FD" w:rsidRPr="004477FD">
        <w:rPr>
          <w:rFonts w:ascii="Arial" w:hAnsi="Arial" w:cs="Arial"/>
          <w:sz w:val="20"/>
          <w:szCs w:val="20"/>
        </w:rPr>
        <w:t>Thông tư này</w:t>
      </w:r>
      <w:r w:rsidRPr="004477FD">
        <w:rPr>
          <w:rFonts w:ascii="Arial" w:hAnsi="Arial" w:cs="Arial"/>
          <w:sz w:val="20"/>
          <w:szCs w:val="20"/>
        </w:rPr>
        <w:t xml:space="preserve"> để tính toán xác định mức đóng, hưởng chế độ bảo hiểm xã hội và giải quyết các chế độ liên quan đến tiền lương theo quy định của pháp luật:</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a) </w:t>
      </w:r>
      <w:r w:rsidRPr="004477FD">
        <w:rPr>
          <w:rFonts w:ascii="Arial" w:hAnsi="Arial" w:cs="Arial"/>
          <w:sz w:val="20"/>
          <w:szCs w:val="20"/>
        </w:rPr>
        <w:t xml:space="preserve">Cán bộ, công chức, viên chức đi học, thực tập, công tác, </w:t>
      </w:r>
      <w:r w:rsidR="004477FD" w:rsidRPr="004477FD">
        <w:rPr>
          <w:rFonts w:ascii="Arial" w:hAnsi="Arial" w:cs="Arial"/>
          <w:sz w:val="20"/>
          <w:szCs w:val="20"/>
        </w:rPr>
        <w:t>điều</w:t>
      </w:r>
      <w:r w:rsidRPr="004477FD">
        <w:rPr>
          <w:rFonts w:ascii="Arial" w:hAnsi="Arial" w:cs="Arial"/>
          <w:sz w:val="20"/>
          <w:szCs w:val="20"/>
        </w:rPr>
        <w:t xml:space="preserve"> trị, </w:t>
      </w:r>
      <w:r w:rsidR="004477FD" w:rsidRPr="004477FD">
        <w:rPr>
          <w:rFonts w:ascii="Arial" w:hAnsi="Arial" w:cs="Arial"/>
          <w:sz w:val="20"/>
          <w:szCs w:val="20"/>
        </w:rPr>
        <w:t>điều</w:t>
      </w:r>
      <w:r w:rsidRPr="004477FD">
        <w:rPr>
          <w:rFonts w:ascii="Arial" w:hAnsi="Arial" w:cs="Arial"/>
          <w:sz w:val="20"/>
          <w:szCs w:val="20"/>
        </w:rPr>
        <w:t xml:space="preserve"> dưỡng (trong nước và ngoài nước) thuộc danh sách trả lương của cơ quan Đảng, Nhà nước, tổ chức chính trị - xã hội, đơn vị sự nghiệp công lập và hội được ngân sách nhà nước hỗ trợ kinh phí hoạt động;</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lastRenderedPageBreak/>
        <w:t>b) N</w:t>
      </w:r>
      <w:r w:rsidRPr="004477FD">
        <w:rPr>
          <w:rFonts w:ascii="Arial" w:hAnsi="Arial" w:cs="Arial"/>
          <w:sz w:val="20"/>
          <w:szCs w:val="20"/>
        </w:rPr>
        <w:t>gười đang trong thời gian tập sự hoặc thử việc (kể cả tập sự công chức cấp xã) trong cơ quan Đảng, Nhà nước, tổ chức chính trị - xã hội, đơn vị sự nghiệp công lập và hội được ngân sách nhà nước hỗ trợ kinh phí hoạt động;</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c) </w:t>
      </w:r>
      <w:r w:rsidRPr="004477FD">
        <w:rPr>
          <w:rFonts w:ascii="Arial" w:hAnsi="Arial" w:cs="Arial"/>
          <w:sz w:val="20"/>
          <w:szCs w:val="20"/>
        </w:rPr>
        <w:t>Cán bộ, công chức, viên chức đang bị tạm đình chỉ công tác, đang bị tạm giữ, tạm giam.</w:t>
      </w:r>
    </w:p>
    <w:p w:rsidR="000D4FB4" w:rsidRPr="004477FD" w:rsidRDefault="004477FD" w:rsidP="008E2826">
      <w:pPr>
        <w:pStyle w:val="BodyText"/>
        <w:widowControl/>
        <w:shd w:val="clear" w:color="auto" w:fill="auto"/>
        <w:spacing w:before="120" w:after="0" w:line="240" w:lineRule="auto"/>
        <w:ind w:firstLine="0"/>
        <w:rPr>
          <w:rFonts w:ascii="Arial" w:hAnsi="Arial" w:cs="Arial"/>
          <w:sz w:val="20"/>
          <w:szCs w:val="20"/>
        </w:rPr>
      </w:pPr>
      <w:bookmarkStart w:id="6" w:name="dieu_2"/>
      <w:r w:rsidRPr="004477FD">
        <w:rPr>
          <w:rFonts w:ascii="Arial" w:hAnsi="Arial" w:cs="Arial"/>
          <w:b/>
          <w:bCs/>
          <w:sz w:val="20"/>
          <w:szCs w:val="20"/>
        </w:rPr>
        <w:t>Điều</w:t>
      </w:r>
      <w:r w:rsidR="00B320FA" w:rsidRPr="004477FD">
        <w:rPr>
          <w:rFonts w:ascii="Arial" w:hAnsi="Arial" w:cs="Arial"/>
          <w:b/>
          <w:bCs/>
          <w:sz w:val="20"/>
          <w:szCs w:val="20"/>
        </w:rPr>
        <w:t xml:space="preserve"> 2. Giải thích từ ngữ</w:t>
      </w:r>
      <w:bookmarkEnd w:id="6"/>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1. </w:t>
      </w:r>
      <w:r w:rsidRPr="004477FD">
        <w:rPr>
          <w:rFonts w:ascii="Arial" w:hAnsi="Arial" w:cs="Arial"/>
          <w:sz w:val="20"/>
          <w:szCs w:val="20"/>
        </w:rPr>
        <w:t xml:space="preserve">Tổ chức chính trị - xã hội quy định tại </w:t>
      </w:r>
      <w:r w:rsidR="004477FD" w:rsidRPr="004477FD">
        <w:rPr>
          <w:rFonts w:ascii="Arial" w:hAnsi="Arial" w:cs="Arial"/>
          <w:sz w:val="20"/>
          <w:szCs w:val="20"/>
        </w:rPr>
        <w:t>Thông tư này</w:t>
      </w:r>
      <w:r w:rsidRPr="004477FD">
        <w:rPr>
          <w:rFonts w:ascii="Arial" w:hAnsi="Arial" w:cs="Arial"/>
          <w:sz w:val="20"/>
          <w:szCs w:val="20"/>
        </w:rPr>
        <w:t xml:space="preserve"> là các tổ chức quy định tại </w:t>
      </w:r>
      <w:bookmarkStart w:id="7" w:name="dc_3"/>
      <w:r w:rsidR="004477FD" w:rsidRPr="004477FD">
        <w:rPr>
          <w:rFonts w:ascii="Arial" w:hAnsi="Arial" w:cs="Arial"/>
          <w:sz w:val="20"/>
          <w:szCs w:val="20"/>
        </w:rPr>
        <w:t>Điều</w:t>
      </w:r>
      <w:r w:rsidR="00E140CE" w:rsidRPr="004477FD">
        <w:rPr>
          <w:rFonts w:ascii="Arial" w:hAnsi="Arial" w:cs="Arial"/>
          <w:sz w:val="20"/>
          <w:szCs w:val="20"/>
        </w:rPr>
        <w:t xml:space="preserve"> 1 Quyết định số 128-QĐ/TW ngày 14 tháng 12 năm 2004</w:t>
      </w:r>
      <w:bookmarkEnd w:id="7"/>
      <w:r w:rsidRPr="004477FD">
        <w:rPr>
          <w:rFonts w:ascii="Arial" w:hAnsi="Arial" w:cs="Arial"/>
          <w:sz w:val="20"/>
          <w:szCs w:val="20"/>
        </w:rPr>
        <w:t xml:space="preserve"> của </w:t>
      </w:r>
      <w:r w:rsidRPr="004477FD">
        <w:rPr>
          <w:rFonts w:ascii="Arial" w:hAnsi="Arial" w:cs="Arial"/>
          <w:sz w:val="20"/>
          <w:szCs w:val="20"/>
          <w:lang w:val="en-US" w:eastAsia="en-US" w:bidi="en-US"/>
        </w:rPr>
        <w:t xml:space="preserve">Ban </w:t>
      </w:r>
      <w:r w:rsidRPr="004477FD">
        <w:rPr>
          <w:rFonts w:ascii="Arial" w:hAnsi="Arial" w:cs="Arial"/>
          <w:sz w:val="20"/>
          <w:szCs w:val="20"/>
        </w:rPr>
        <w:t>Bí thư Trung ương Đảng về chế độ tiền lương đối với cán bộ, công chức, viên chức cơ quan Đảng, Mặt trận và các đoàn thể.</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2. </w:t>
      </w:r>
      <w:r w:rsidRPr="004477FD">
        <w:rPr>
          <w:rFonts w:ascii="Arial" w:hAnsi="Arial" w:cs="Arial"/>
          <w:sz w:val="20"/>
          <w:szCs w:val="20"/>
        </w:rPr>
        <w:t>Hội được ngân sách nhà nước h</w:t>
      </w:r>
      <w:r w:rsidRPr="004477FD">
        <w:rPr>
          <w:rFonts w:ascii="Arial" w:hAnsi="Arial" w:cs="Arial"/>
          <w:sz w:val="20"/>
          <w:szCs w:val="20"/>
          <w:lang w:val="en-US"/>
        </w:rPr>
        <w:t>ỗ</w:t>
      </w:r>
      <w:r w:rsidRPr="004477FD">
        <w:rPr>
          <w:rFonts w:ascii="Arial" w:hAnsi="Arial" w:cs="Arial"/>
          <w:sz w:val="20"/>
          <w:szCs w:val="20"/>
        </w:rPr>
        <w:t xml:space="preserve"> trợ kinh phí hoạt động quy định tại </w:t>
      </w:r>
      <w:r w:rsidR="004477FD" w:rsidRPr="004477FD">
        <w:rPr>
          <w:rFonts w:ascii="Arial" w:hAnsi="Arial" w:cs="Arial"/>
          <w:sz w:val="20"/>
          <w:szCs w:val="20"/>
        </w:rPr>
        <w:t>Thông tư này</w:t>
      </w:r>
      <w:r w:rsidRPr="004477FD">
        <w:rPr>
          <w:rFonts w:ascii="Arial" w:hAnsi="Arial" w:cs="Arial"/>
          <w:sz w:val="20"/>
          <w:szCs w:val="20"/>
        </w:rPr>
        <w:t xml:space="preserve"> là các hội quy định tại </w:t>
      </w:r>
      <w:bookmarkStart w:id="8" w:name="dc_4"/>
      <w:r w:rsidR="004477FD" w:rsidRPr="004477FD">
        <w:rPr>
          <w:rFonts w:ascii="Arial" w:hAnsi="Arial" w:cs="Arial"/>
          <w:sz w:val="20"/>
          <w:szCs w:val="20"/>
        </w:rPr>
        <w:t>Điều</w:t>
      </w:r>
      <w:r w:rsidRPr="004477FD">
        <w:rPr>
          <w:rFonts w:ascii="Arial" w:hAnsi="Arial" w:cs="Arial"/>
          <w:sz w:val="20"/>
          <w:szCs w:val="20"/>
        </w:rPr>
        <w:t xml:space="preserve"> 33 Nghị định số 45/2010/NĐ-CP</w:t>
      </w:r>
      <w:bookmarkEnd w:id="8"/>
      <w:r w:rsidRPr="004477FD">
        <w:rPr>
          <w:rFonts w:ascii="Arial" w:hAnsi="Arial" w:cs="Arial"/>
          <w:sz w:val="20"/>
          <w:szCs w:val="20"/>
        </w:rPr>
        <w:t xml:space="preserve"> ngày 21 tháng 4 năm 2010 của Chính phủ quy định về t</w:t>
      </w:r>
      <w:r w:rsidRPr="004477FD">
        <w:rPr>
          <w:rFonts w:ascii="Arial" w:hAnsi="Arial" w:cs="Arial"/>
          <w:sz w:val="20"/>
          <w:szCs w:val="20"/>
          <w:lang w:val="en-US"/>
        </w:rPr>
        <w:t>ổ</w:t>
      </w:r>
      <w:r w:rsidRPr="004477FD">
        <w:rPr>
          <w:rFonts w:ascii="Arial" w:hAnsi="Arial" w:cs="Arial"/>
          <w:sz w:val="20"/>
          <w:szCs w:val="20"/>
        </w:rPr>
        <w:t xml:space="preserve"> chức, hoạt động và quản lý hội và Quyết định số 68/2010/QĐ-TTg ngày 01 tháng 11 năm 2010 của Thủ tướng Chính phủ về việc quy định hội có tính chất đặc thù.</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3. </w:t>
      </w:r>
      <w:r w:rsidRPr="004477FD">
        <w:rPr>
          <w:rFonts w:ascii="Arial" w:hAnsi="Arial" w:cs="Arial"/>
          <w:sz w:val="20"/>
          <w:szCs w:val="20"/>
        </w:rPr>
        <w:t xml:space="preserve">Các cơ quan, đơn vị, tổ chức và hội quy định tại </w:t>
      </w:r>
      <w:r w:rsidR="004477FD" w:rsidRPr="004477FD">
        <w:rPr>
          <w:rFonts w:ascii="Arial" w:hAnsi="Arial" w:cs="Arial"/>
          <w:sz w:val="20"/>
          <w:szCs w:val="20"/>
        </w:rPr>
        <w:t>Thông tư này</w:t>
      </w:r>
      <w:r w:rsidRPr="004477FD">
        <w:rPr>
          <w:rFonts w:ascii="Arial" w:hAnsi="Arial" w:cs="Arial"/>
          <w:sz w:val="20"/>
          <w:szCs w:val="20"/>
        </w:rPr>
        <w:t xml:space="preserve"> sau đây gọi chung là cơ quan, đơn vị.</w:t>
      </w:r>
    </w:p>
    <w:p w:rsidR="000D4FB4" w:rsidRPr="004477FD" w:rsidRDefault="004477FD" w:rsidP="008E2826">
      <w:pPr>
        <w:pStyle w:val="BodyText"/>
        <w:widowControl/>
        <w:shd w:val="clear" w:color="auto" w:fill="auto"/>
        <w:spacing w:before="120" w:after="0" w:line="240" w:lineRule="auto"/>
        <w:ind w:firstLine="0"/>
        <w:rPr>
          <w:rFonts w:ascii="Arial" w:hAnsi="Arial" w:cs="Arial"/>
          <w:sz w:val="20"/>
          <w:szCs w:val="20"/>
        </w:rPr>
      </w:pPr>
      <w:bookmarkStart w:id="9" w:name="dieu_3"/>
      <w:r w:rsidRPr="004477FD">
        <w:rPr>
          <w:rFonts w:ascii="Arial" w:hAnsi="Arial" w:cs="Arial"/>
          <w:b/>
          <w:bCs/>
          <w:sz w:val="20"/>
          <w:szCs w:val="20"/>
        </w:rPr>
        <w:t>Điều</w:t>
      </w:r>
      <w:r w:rsidR="000D4FB4" w:rsidRPr="004477FD">
        <w:rPr>
          <w:rFonts w:ascii="Arial" w:hAnsi="Arial" w:cs="Arial"/>
          <w:b/>
          <w:bCs/>
          <w:sz w:val="20"/>
          <w:szCs w:val="20"/>
        </w:rPr>
        <w:t xml:space="preserve"> 3. Cách tính mức lương, phụ cấp và hoạt động phí</w:t>
      </w:r>
      <w:bookmarkEnd w:id="9"/>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1. </w:t>
      </w:r>
      <w:r w:rsidRPr="004477FD">
        <w:rPr>
          <w:rFonts w:ascii="Arial" w:hAnsi="Arial" w:cs="Arial"/>
          <w:sz w:val="20"/>
          <w:szCs w:val="20"/>
        </w:rPr>
        <w:t xml:space="preserve">Đối với cán bộ, công chức, viên chức và người lao động quy định tại các </w:t>
      </w:r>
      <w:bookmarkStart w:id="10" w:name="tc_1"/>
      <w:r w:rsidR="004477FD" w:rsidRPr="004477FD">
        <w:rPr>
          <w:rFonts w:ascii="Arial" w:hAnsi="Arial" w:cs="Arial"/>
          <w:sz w:val="20"/>
          <w:szCs w:val="20"/>
        </w:rPr>
        <w:t>khoản 1, 2, 3, 4, 5, 8 và 9 Điều 1 Thông tư này</w:t>
      </w:r>
      <w:bookmarkEnd w:id="10"/>
      <w:r w:rsidRPr="004477FD">
        <w:rPr>
          <w:rFonts w:ascii="Arial" w:hAnsi="Arial" w:cs="Arial"/>
          <w:sz w:val="20"/>
          <w:szCs w:val="20"/>
        </w:rPr>
        <w:t>:</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rPr>
        <w:t>Căn cứ vào hệ số lương và phụ cấp hiện hưởng quy định tại các văn bản của cơ quan có thẩm quyền của Đảng, Nhà nước về chế độ tiền lương đối với cán bộ, công chức, viên chức và lực lượng vũ trang, mức lương cơ sở quy định tại Nghị định số 24/2023/NĐ-CP ngày 14 tháng 5 năm 2023 của Chính phủ quy định mức lương cơ sở đối với cán bộ, công chức, viên chức và lực lượng vũ trang (sau đây viết tắt là Nghị định số 24/2023/NĐ-CP) để tính mức lương, mức phụ cấp và mức tiền của hệ số chênh lệch bảo lưu (nếu có) như sau:</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lang w:val="en-US"/>
        </w:rPr>
      </w:pPr>
      <w:r w:rsidRPr="004477FD">
        <w:rPr>
          <w:rFonts w:ascii="Arial" w:hAnsi="Arial" w:cs="Arial"/>
          <w:sz w:val="20"/>
          <w:szCs w:val="20"/>
        </w:rPr>
        <w:t>a) Công thức tính mức lươn</w:t>
      </w:r>
      <w:r w:rsidRPr="004477FD">
        <w:rPr>
          <w:rFonts w:ascii="Arial" w:hAnsi="Arial" w:cs="Arial"/>
          <w:sz w:val="20"/>
          <w:szCs w:val="20"/>
          <w:lang w:val="en-US"/>
        </w:rPr>
        <w:t>g:</w:t>
      </w:r>
    </w:p>
    <w:p w:rsidR="00A068F1" w:rsidRPr="004477FD" w:rsidRDefault="00C421E8" w:rsidP="00890CE3">
      <w:pPr>
        <w:pStyle w:val="BodyText"/>
        <w:widowControl/>
        <w:shd w:val="clear" w:color="auto" w:fill="auto"/>
        <w:spacing w:before="120" w:after="0" w:line="240" w:lineRule="auto"/>
        <w:ind w:firstLine="0"/>
        <w:jc w:val="center"/>
        <w:rPr>
          <w:rFonts w:ascii="Arial" w:hAnsi="Arial" w:cs="Arial"/>
          <w:sz w:val="20"/>
          <w:szCs w:val="20"/>
          <w:lang w:val="en-US"/>
        </w:rPr>
      </w:pPr>
      <w:r>
        <w:rPr>
          <w:rFonts w:ascii="Arial" w:hAnsi="Arial" w:cs="Arial"/>
          <w:noProof/>
          <w:sz w:val="20"/>
          <w:szCs w:val="20"/>
          <w:lang w:val="en-US" w:eastAsia="en-US" w:bidi="ar-SA"/>
        </w:rPr>
        <w:drawing>
          <wp:inline distT="0" distB="0" distL="0" distR="0">
            <wp:extent cx="5486400" cy="835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835025"/>
                    </a:xfrm>
                    <a:prstGeom prst="rect">
                      <a:avLst/>
                    </a:prstGeom>
                    <a:noFill/>
                    <a:ln>
                      <a:noFill/>
                    </a:ln>
                  </pic:spPr>
                </pic:pic>
              </a:graphicData>
            </a:graphic>
          </wp:inline>
        </w:drawing>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b) </w:t>
      </w:r>
      <w:r w:rsidRPr="004477FD">
        <w:rPr>
          <w:rFonts w:ascii="Arial" w:hAnsi="Arial" w:cs="Arial"/>
          <w:sz w:val="20"/>
          <w:szCs w:val="20"/>
        </w:rPr>
        <w:t>Công thức tính mức phụ c</w:t>
      </w:r>
      <w:r w:rsidRPr="004477FD">
        <w:rPr>
          <w:rFonts w:ascii="Arial" w:hAnsi="Arial" w:cs="Arial"/>
          <w:sz w:val="20"/>
          <w:szCs w:val="20"/>
          <w:lang w:val="en-US"/>
        </w:rPr>
        <w:t>ấ</w:t>
      </w:r>
      <w:r w:rsidRPr="004477FD">
        <w:rPr>
          <w:rFonts w:ascii="Arial" w:hAnsi="Arial" w:cs="Arial"/>
          <w:sz w:val="20"/>
          <w:szCs w:val="20"/>
        </w:rPr>
        <w:t>p:</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lang w:val="en-US"/>
        </w:rPr>
      </w:pPr>
      <w:r w:rsidRPr="004477FD">
        <w:rPr>
          <w:rFonts w:ascii="Arial" w:hAnsi="Arial" w:cs="Arial"/>
          <w:sz w:val="20"/>
          <w:szCs w:val="20"/>
        </w:rPr>
        <w:t>- Đ</w:t>
      </w:r>
      <w:r w:rsidRPr="004477FD">
        <w:rPr>
          <w:rFonts w:ascii="Arial" w:hAnsi="Arial" w:cs="Arial"/>
          <w:sz w:val="20"/>
          <w:szCs w:val="20"/>
          <w:lang w:val="en-US"/>
        </w:rPr>
        <w:t>ố</w:t>
      </w:r>
      <w:r w:rsidRPr="004477FD">
        <w:rPr>
          <w:rFonts w:ascii="Arial" w:hAnsi="Arial" w:cs="Arial"/>
          <w:sz w:val="20"/>
          <w:szCs w:val="20"/>
        </w:rPr>
        <w:t xml:space="preserve">i với các </w:t>
      </w:r>
      <w:r w:rsidR="004477FD" w:rsidRPr="004477FD">
        <w:rPr>
          <w:rFonts w:ascii="Arial" w:hAnsi="Arial" w:cs="Arial"/>
          <w:sz w:val="20"/>
          <w:szCs w:val="20"/>
        </w:rPr>
        <w:t>khoản</w:t>
      </w:r>
      <w:r w:rsidRPr="004477FD">
        <w:rPr>
          <w:rFonts w:ascii="Arial" w:hAnsi="Arial" w:cs="Arial"/>
          <w:sz w:val="20"/>
          <w:szCs w:val="20"/>
        </w:rPr>
        <w:t xml:space="preserve"> phụ c</w:t>
      </w:r>
      <w:r w:rsidRPr="004477FD">
        <w:rPr>
          <w:rFonts w:ascii="Arial" w:hAnsi="Arial" w:cs="Arial"/>
          <w:sz w:val="20"/>
          <w:szCs w:val="20"/>
          <w:lang w:val="en-US"/>
        </w:rPr>
        <w:t>ấ</w:t>
      </w:r>
      <w:r w:rsidRPr="004477FD">
        <w:rPr>
          <w:rFonts w:ascii="Arial" w:hAnsi="Arial" w:cs="Arial"/>
          <w:sz w:val="20"/>
          <w:szCs w:val="20"/>
        </w:rPr>
        <w:t>p tính theo mức lương cơ sở:</w:t>
      </w:r>
    </w:p>
    <w:p w:rsidR="00A068F1" w:rsidRPr="004477FD" w:rsidRDefault="00C421E8" w:rsidP="00890CE3">
      <w:pPr>
        <w:pStyle w:val="BodyText"/>
        <w:widowControl/>
        <w:shd w:val="clear" w:color="auto" w:fill="auto"/>
        <w:spacing w:before="120" w:after="0" w:line="240" w:lineRule="auto"/>
        <w:ind w:firstLine="0"/>
        <w:jc w:val="center"/>
        <w:rPr>
          <w:rFonts w:ascii="Arial" w:hAnsi="Arial" w:cs="Arial"/>
          <w:sz w:val="20"/>
          <w:szCs w:val="20"/>
          <w:lang w:val="en-US"/>
        </w:rPr>
      </w:pPr>
      <w:r>
        <w:rPr>
          <w:rFonts w:ascii="Arial" w:hAnsi="Arial" w:cs="Arial"/>
          <w:noProof/>
          <w:sz w:val="20"/>
          <w:szCs w:val="20"/>
          <w:lang w:val="en-US" w:eastAsia="en-US" w:bidi="ar-SA"/>
        </w:rPr>
        <w:drawing>
          <wp:inline distT="0" distB="0" distL="0" distR="0">
            <wp:extent cx="5451475" cy="84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1475" cy="843915"/>
                    </a:xfrm>
                    <a:prstGeom prst="rect">
                      <a:avLst/>
                    </a:prstGeom>
                    <a:noFill/>
                    <a:ln>
                      <a:noFill/>
                    </a:ln>
                  </pic:spPr>
                </pic:pic>
              </a:graphicData>
            </a:graphic>
          </wp:inline>
        </w:drawing>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lang w:val="en-US"/>
        </w:rPr>
      </w:pPr>
      <w:r w:rsidRPr="004477FD">
        <w:rPr>
          <w:rFonts w:ascii="Arial" w:hAnsi="Arial" w:cs="Arial"/>
          <w:sz w:val="20"/>
          <w:szCs w:val="20"/>
        </w:rPr>
        <w:t>- Đ</w:t>
      </w:r>
      <w:r w:rsidRPr="004477FD">
        <w:rPr>
          <w:rFonts w:ascii="Arial" w:hAnsi="Arial" w:cs="Arial"/>
          <w:sz w:val="20"/>
          <w:szCs w:val="20"/>
          <w:lang w:val="en-US"/>
        </w:rPr>
        <w:t>ố</w:t>
      </w:r>
      <w:r w:rsidRPr="004477FD">
        <w:rPr>
          <w:rFonts w:ascii="Arial" w:hAnsi="Arial" w:cs="Arial"/>
          <w:sz w:val="20"/>
          <w:szCs w:val="20"/>
        </w:rPr>
        <w:t xml:space="preserve">i với các </w:t>
      </w:r>
      <w:r w:rsidR="004477FD" w:rsidRPr="004477FD">
        <w:rPr>
          <w:rFonts w:ascii="Arial" w:hAnsi="Arial" w:cs="Arial"/>
          <w:sz w:val="20"/>
          <w:szCs w:val="20"/>
        </w:rPr>
        <w:t>khoản</w:t>
      </w:r>
      <w:r w:rsidRPr="004477FD">
        <w:rPr>
          <w:rFonts w:ascii="Arial" w:hAnsi="Arial" w:cs="Arial"/>
          <w:sz w:val="20"/>
          <w:szCs w:val="20"/>
        </w:rPr>
        <w:t xml:space="preserve"> phụ cấp tính theo % mức lương hiện hưởng cộng phụ cấp chức vụ lãnh đạo và phụ </w:t>
      </w:r>
      <w:r w:rsidRPr="004477FD">
        <w:rPr>
          <w:rFonts w:ascii="Arial" w:hAnsi="Arial" w:cs="Arial"/>
          <w:sz w:val="20"/>
          <w:szCs w:val="20"/>
          <w:lang w:val="en-US"/>
        </w:rPr>
        <w:t>cấ</w:t>
      </w:r>
      <w:r w:rsidRPr="004477FD">
        <w:rPr>
          <w:rFonts w:ascii="Arial" w:hAnsi="Arial" w:cs="Arial"/>
          <w:sz w:val="20"/>
          <w:szCs w:val="20"/>
        </w:rPr>
        <w:t>p thâm niên vượt khung (n</w:t>
      </w:r>
      <w:r w:rsidRPr="004477FD">
        <w:rPr>
          <w:rFonts w:ascii="Arial" w:hAnsi="Arial" w:cs="Arial"/>
          <w:sz w:val="20"/>
          <w:szCs w:val="20"/>
          <w:lang w:val="en-US"/>
        </w:rPr>
        <w:t>ế</w:t>
      </w:r>
      <w:r w:rsidRPr="004477FD">
        <w:rPr>
          <w:rFonts w:ascii="Arial" w:hAnsi="Arial" w:cs="Arial"/>
          <w:sz w:val="20"/>
          <w:szCs w:val="20"/>
        </w:rPr>
        <w:t>u có)</w:t>
      </w:r>
      <w:r w:rsidRPr="004477FD">
        <w:rPr>
          <w:rFonts w:ascii="Arial" w:hAnsi="Arial" w:cs="Arial"/>
          <w:sz w:val="20"/>
          <w:szCs w:val="20"/>
          <w:lang w:val="en-US"/>
        </w:rPr>
        <w:t>:</w:t>
      </w:r>
    </w:p>
    <w:p w:rsidR="000D4FB4" w:rsidRPr="004477FD" w:rsidRDefault="00C421E8" w:rsidP="00890CE3">
      <w:pPr>
        <w:pStyle w:val="BodyText"/>
        <w:widowControl/>
        <w:shd w:val="clear" w:color="auto" w:fill="auto"/>
        <w:spacing w:before="120" w:after="0" w:line="240" w:lineRule="auto"/>
        <w:ind w:firstLine="0"/>
        <w:jc w:val="center"/>
        <w:rPr>
          <w:rFonts w:ascii="Arial" w:hAnsi="Arial" w:cs="Arial"/>
          <w:sz w:val="20"/>
          <w:szCs w:val="20"/>
          <w:lang w:val="en-US"/>
        </w:rPr>
      </w:pPr>
      <w:r>
        <w:rPr>
          <w:rFonts w:ascii="Arial" w:hAnsi="Arial" w:cs="Arial"/>
          <w:noProof/>
          <w:sz w:val="20"/>
          <w:szCs w:val="20"/>
          <w:lang w:val="en-US" w:eastAsia="en-US" w:bidi="ar-SA"/>
        </w:rPr>
        <w:drawing>
          <wp:inline distT="0" distB="0" distL="0" distR="0">
            <wp:extent cx="5477510" cy="139827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7510" cy="1398270"/>
                    </a:xfrm>
                    <a:prstGeom prst="rect">
                      <a:avLst/>
                    </a:prstGeom>
                    <a:noFill/>
                    <a:ln>
                      <a:noFill/>
                    </a:ln>
                  </pic:spPr>
                </pic:pic>
              </a:graphicData>
            </a:graphic>
          </wp:inline>
        </w:drawing>
      </w:r>
    </w:p>
    <w:p w:rsidR="000D4FB4" w:rsidRPr="004477FD" w:rsidRDefault="000D4FB4" w:rsidP="008E2826">
      <w:pPr>
        <w:pStyle w:val="Tablecaption0"/>
        <w:widowControl/>
        <w:shd w:val="clear" w:color="auto" w:fill="auto"/>
        <w:spacing w:before="120"/>
        <w:rPr>
          <w:rFonts w:ascii="Arial" w:hAnsi="Arial" w:cs="Arial"/>
          <w:i w:val="0"/>
          <w:sz w:val="20"/>
          <w:szCs w:val="20"/>
        </w:rPr>
      </w:pPr>
      <w:r w:rsidRPr="004477FD">
        <w:rPr>
          <w:rFonts w:ascii="Arial" w:hAnsi="Arial" w:cs="Arial"/>
          <w:i w:val="0"/>
          <w:sz w:val="20"/>
          <w:szCs w:val="20"/>
        </w:rPr>
        <w:t>- Đ</w:t>
      </w:r>
      <w:r w:rsidRPr="004477FD">
        <w:rPr>
          <w:rFonts w:ascii="Arial" w:hAnsi="Arial" w:cs="Arial"/>
          <w:i w:val="0"/>
          <w:sz w:val="20"/>
          <w:szCs w:val="20"/>
          <w:lang w:val="en-US"/>
        </w:rPr>
        <w:t>ố</w:t>
      </w:r>
      <w:r w:rsidRPr="004477FD">
        <w:rPr>
          <w:rFonts w:ascii="Arial" w:hAnsi="Arial" w:cs="Arial"/>
          <w:i w:val="0"/>
          <w:sz w:val="20"/>
          <w:szCs w:val="20"/>
        </w:rPr>
        <w:t xml:space="preserve">i với các </w:t>
      </w:r>
      <w:r w:rsidR="004477FD" w:rsidRPr="004477FD">
        <w:rPr>
          <w:rFonts w:ascii="Arial" w:hAnsi="Arial" w:cs="Arial"/>
          <w:i w:val="0"/>
          <w:sz w:val="20"/>
          <w:szCs w:val="20"/>
        </w:rPr>
        <w:t>khoản</w:t>
      </w:r>
      <w:r w:rsidRPr="004477FD">
        <w:rPr>
          <w:rFonts w:ascii="Arial" w:hAnsi="Arial" w:cs="Arial"/>
          <w:i w:val="0"/>
          <w:sz w:val="20"/>
          <w:szCs w:val="20"/>
        </w:rPr>
        <w:t xml:space="preserve"> phụ c</w:t>
      </w:r>
      <w:r w:rsidRPr="004477FD">
        <w:rPr>
          <w:rFonts w:ascii="Arial" w:hAnsi="Arial" w:cs="Arial"/>
          <w:i w:val="0"/>
          <w:sz w:val="20"/>
          <w:szCs w:val="20"/>
          <w:lang w:val="en-US"/>
        </w:rPr>
        <w:t>ấ</w:t>
      </w:r>
      <w:r w:rsidRPr="004477FD">
        <w:rPr>
          <w:rFonts w:ascii="Arial" w:hAnsi="Arial" w:cs="Arial"/>
          <w:i w:val="0"/>
          <w:sz w:val="20"/>
          <w:szCs w:val="20"/>
        </w:rPr>
        <w:t>p quy định b</w:t>
      </w:r>
      <w:r w:rsidRPr="004477FD">
        <w:rPr>
          <w:rFonts w:ascii="Arial" w:hAnsi="Arial" w:cs="Arial"/>
          <w:i w:val="0"/>
          <w:sz w:val="20"/>
          <w:szCs w:val="20"/>
          <w:lang w:val="en-US"/>
        </w:rPr>
        <w:t>ằ</w:t>
      </w:r>
      <w:r w:rsidRPr="004477FD">
        <w:rPr>
          <w:rFonts w:ascii="Arial" w:hAnsi="Arial" w:cs="Arial"/>
          <w:i w:val="0"/>
          <w:sz w:val="20"/>
          <w:szCs w:val="20"/>
        </w:rPr>
        <w:t>ng mức ti</w:t>
      </w:r>
      <w:r w:rsidRPr="004477FD">
        <w:rPr>
          <w:rFonts w:ascii="Arial" w:hAnsi="Arial" w:cs="Arial"/>
          <w:i w:val="0"/>
          <w:sz w:val="20"/>
          <w:szCs w:val="20"/>
          <w:lang w:val="en-US"/>
        </w:rPr>
        <w:t>ề</w:t>
      </w:r>
      <w:r w:rsidRPr="004477FD">
        <w:rPr>
          <w:rFonts w:ascii="Arial" w:hAnsi="Arial" w:cs="Arial"/>
          <w:i w:val="0"/>
          <w:sz w:val="20"/>
          <w:szCs w:val="20"/>
        </w:rPr>
        <w:t>n cụ th</w:t>
      </w:r>
      <w:r w:rsidRPr="004477FD">
        <w:rPr>
          <w:rFonts w:ascii="Arial" w:hAnsi="Arial" w:cs="Arial"/>
          <w:i w:val="0"/>
          <w:sz w:val="20"/>
          <w:szCs w:val="20"/>
          <w:lang w:val="en-US"/>
        </w:rPr>
        <w:t>ể</w:t>
      </w:r>
      <w:r w:rsidRPr="004477FD">
        <w:rPr>
          <w:rFonts w:ascii="Arial" w:hAnsi="Arial" w:cs="Arial"/>
          <w:i w:val="0"/>
          <w:sz w:val="20"/>
          <w:szCs w:val="20"/>
        </w:rPr>
        <w:t xml:space="preserve"> thì giữ nguyên</w:t>
      </w:r>
      <w:r w:rsidRPr="004477FD">
        <w:rPr>
          <w:rFonts w:ascii="Arial" w:hAnsi="Arial" w:cs="Arial"/>
          <w:i w:val="0"/>
          <w:sz w:val="20"/>
          <w:szCs w:val="20"/>
          <w:lang w:val="en-US"/>
        </w:rPr>
        <w:t xml:space="preserve"> </w:t>
      </w:r>
      <w:r w:rsidRPr="004477FD">
        <w:rPr>
          <w:rFonts w:ascii="Arial" w:hAnsi="Arial" w:cs="Arial"/>
          <w:i w:val="0"/>
          <w:sz w:val="20"/>
          <w:szCs w:val="20"/>
        </w:rPr>
        <w:t>theo quy định hiện hành.</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c) </w:t>
      </w:r>
      <w:r w:rsidRPr="004477FD">
        <w:rPr>
          <w:rFonts w:ascii="Arial" w:hAnsi="Arial" w:cs="Arial"/>
          <w:sz w:val="20"/>
          <w:szCs w:val="20"/>
        </w:rPr>
        <w:t>Công thức tính mức ti</w:t>
      </w:r>
      <w:r w:rsidRPr="004477FD">
        <w:rPr>
          <w:rFonts w:ascii="Arial" w:hAnsi="Arial" w:cs="Arial"/>
          <w:sz w:val="20"/>
          <w:szCs w:val="20"/>
          <w:lang w:val="en-US"/>
        </w:rPr>
        <w:t>ề</w:t>
      </w:r>
      <w:r w:rsidRPr="004477FD">
        <w:rPr>
          <w:rFonts w:ascii="Arial" w:hAnsi="Arial" w:cs="Arial"/>
          <w:sz w:val="20"/>
          <w:szCs w:val="20"/>
        </w:rPr>
        <w:t>n của hệ s</w:t>
      </w:r>
      <w:r w:rsidRPr="004477FD">
        <w:rPr>
          <w:rFonts w:ascii="Arial" w:hAnsi="Arial" w:cs="Arial"/>
          <w:sz w:val="20"/>
          <w:szCs w:val="20"/>
          <w:lang w:val="en-US"/>
        </w:rPr>
        <w:t>ố</w:t>
      </w:r>
      <w:r w:rsidRPr="004477FD">
        <w:rPr>
          <w:rFonts w:ascii="Arial" w:hAnsi="Arial" w:cs="Arial"/>
          <w:sz w:val="20"/>
          <w:szCs w:val="20"/>
        </w:rPr>
        <w:t xml:space="preserve"> chênh lệch bảo lưu (n</w:t>
      </w:r>
      <w:r w:rsidRPr="004477FD">
        <w:rPr>
          <w:rFonts w:ascii="Arial" w:hAnsi="Arial" w:cs="Arial"/>
          <w:sz w:val="20"/>
          <w:szCs w:val="20"/>
          <w:lang w:val="en-US"/>
        </w:rPr>
        <w:t>ế</w:t>
      </w:r>
      <w:r w:rsidRPr="004477FD">
        <w:rPr>
          <w:rFonts w:ascii="Arial" w:hAnsi="Arial" w:cs="Arial"/>
          <w:sz w:val="20"/>
          <w:szCs w:val="20"/>
        </w:rPr>
        <w:t>u có):</w:t>
      </w:r>
    </w:p>
    <w:p w:rsidR="000D4FB4" w:rsidRPr="004477FD" w:rsidRDefault="00C421E8" w:rsidP="00890CE3">
      <w:pPr>
        <w:pStyle w:val="BodyText"/>
        <w:widowControl/>
        <w:shd w:val="clear" w:color="auto" w:fill="auto"/>
        <w:spacing w:before="120" w:after="0" w:line="240" w:lineRule="auto"/>
        <w:ind w:firstLine="0"/>
        <w:jc w:val="center"/>
        <w:rPr>
          <w:rFonts w:ascii="Arial" w:hAnsi="Arial" w:cs="Arial"/>
          <w:sz w:val="20"/>
          <w:szCs w:val="20"/>
        </w:rPr>
      </w:pPr>
      <w:r>
        <w:rPr>
          <w:rFonts w:ascii="Arial" w:hAnsi="Arial" w:cs="Arial"/>
          <w:noProof/>
          <w:sz w:val="20"/>
          <w:szCs w:val="20"/>
          <w:lang w:val="en-US" w:eastAsia="en-US" w:bidi="ar-SA"/>
        </w:rPr>
        <w:drawing>
          <wp:inline distT="0" distB="0" distL="0" distR="0">
            <wp:extent cx="5477510" cy="10287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7510" cy="1028700"/>
                    </a:xfrm>
                    <a:prstGeom prst="rect">
                      <a:avLst/>
                    </a:prstGeom>
                    <a:noFill/>
                    <a:ln>
                      <a:noFill/>
                    </a:ln>
                  </pic:spPr>
                </pic:pic>
              </a:graphicData>
            </a:graphic>
          </wp:inline>
        </w:drawing>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lastRenderedPageBreak/>
        <w:t xml:space="preserve">2. </w:t>
      </w:r>
      <w:r w:rsidRPr="004477FD">
        <w:rPr>
          <w:rFonts w:ascii="Arial" w:hAnsi="Arial" w:cs="Arial"/>
          <w:sz w:val="20"/>
          <w:szCs w:val="20"/>
        </w:rPr>
        <w:t xml:space="preserve">Đối với đại biểu Hội đồng nhân dân các cấp quy định tại </w:t>
      </w:r>
      <w:bookmarkStart w:id="11" w:name="tc_2"/>
      <w:r w:rsidR="004477FD" w:rsidRPr="004477FD">
        <w:rPr>
          <w:rFonts w:ascii="Arial" w:hAnsi="Arial" w:cs="Arial"/>
          <w:sz w:val="20"/>
          <w:szCs w:val="20"/>
        </w:rPr>
        <w:t>khoản 6 Điều 1 Thông tư này</w:t>
      </w:r>
      <w:bookmarkEnd w:id="11"/>
      <w:r w:rsidRPr="004477FD">
        <w:rPr>
          <w:rFonts w:ascii="Arial" w:hAnsi="Arial" w:cs="Arial"/>
          <w:sz w:val="20"/>
          <w:szCs w:val="20"/>
        </w:rPr>
        <w:t>:</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rPr>
        <w:t>Căn cứ vào hệ số hoạt động phí đối với đại biểu Hội đồng nhân dân các cấp theo quy định của pháp luật hiện hành để tính mức hoạt động phí theo công thức sau:</w:t>
      </w:r>
    </w:p>
    <w:p w:rsidR="000D4FB4" w:rsidRPr="004477FD" w:rsidRDefault="00C421E8" w:rsidP="00890CE3">
      <w:pPr>
        <w:pStyle w:val="BodyText"/>
        <w:widowControl/>
        <w:shd w:val="clear" w:color="auto" w:fill="auto"/>
        <w:spacing w:before="120" w:after="0" w:line="240" w:lineRule="auto"/>
        <w:ind w:firstLine="0"/>
        <w:jc w:val="center"/>
        <w:rPr>
          <w:rFonts w:ascii="Arial" w:hAnsi="Arial" w:cs="Arial"/>
          <w:sz w:val="20"/>
          <w:szCs w:val="20"/>
        </w:rPr>
      </w:pPr>
      <w:r>
        <w:rPr>
          <w:rFonts w:ascii="Arial" w:hAnsi="Arial" w:cs="Arial"/>
          <w:noProof/>
          <w:sz w:val="20"/>
          <w:szCs w:val="20"/>
          <w:lang w:val="en-US" w:eastAsia="en-US" w:bidi="ar-SA"/>
        </w:rPr>
        <w:drawing>
          <wp:inline distT="0" distB="0" distL="0" distR="0">
            <wp:extent cx="5486400" cy="993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993775"/>
                    </a:xfrm>
                    <a:prstGeom prst="rect">
                      <a:avLst/>
                    </a:prstGeom>
                    <a:noFill/>
                    <a:ln>
                      <a:noFill/>
                    </a:ln>
                  </pic:spPr>
                </pic:pic>
              </a:graphicData>
            </a:graphic>
          </wp:inline>
        </w:drawing>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3. </w:t>
      </w:r>
      <w:r w:rsidRPr="004477FD">
        <w:rPr>
          <w:rFonts w:ascii="Arial" w:hAnsi="Arial" w:cs="Arial"/>
          <w:sz w:val="20"/>
          <w:szCs w:val="20"/>
        </w:rPr>
        <w:t xml:space="preserve">Đối với những người hoạt động không chuyên trách ở cấp xã, ở thôn, tổ dân phố quy định tại </w:t>
      </w:r>
      <w:bookmarkStart w:id="12" w:name="tc_3"/>
      <w:r w:rsidR="004477FD" w:rsidRPr="004477FD">
        <w:rPr>
          <w:rFonts w:ascii="Arial" w:hAnsi="Arial" w:cs="Arial"/>
          <w:sz w:val="20"/>
          <w:szCs w:val="20"/>
        </w:rPr>
        <w:t>khoản 5 Điều 1 Thông tư này</w:t>
      </w:r>
      <w:bookmarkEnd w:id="12"/>
      <w:r w:rsidRPr="004477FD">
        <w:rPr>
          <w:rFonts w:ascii="Arial" w:hAnsi="Arial" w:cs="Arial"/>
          <w:sz w:val="20"/>
          <w:szCs w:val="20"/>
        </w:rPr>
        <w:t>:</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a) </w:t>
      </w:r>
      <w:r w:rsidRPr="004477FD">
        <w:rPr>
          <w:rFonts w:ascii="Arial" w:hAnsi="Arial" w:cs="Arial"/>
          <w:sz w:val="20"/>
          <w:szCs w:val="20"/>
        </w:rPr>
        <w:t xml:space="preserve">Từ ngày 01 tháng 7 năm 2023, quỹ phụ cấp được ngân sách nhà nước khoán đối với mỗi cấp xã, mỗi thôn, tổ dân phố quy định tại </w:t>
      </w:r>
      <w:bookmarkStart w:id="13" w:name="dc_5"/>
      <w:r w:rsidR="004477FD" w:rsidRPr="004477FD">
        <w:rPr>
          <w:rFonts w:ascii="Arial" w:hAnsi="Arial" w:cs="Arial"/>
          <w:sz w:val="20"/>
          <w:szCs w:val="20"/>
        </w:rPr>
        <w:t>khoản</w:t>
      </w:r>
      <w:r w:rsidRPr="004477FD">
        <w:rPr>
          <w:rFonts w:ascii="Arial" w:hAnsi="Arial" w:cs="Arial"/>
          <w:sz w:val="20"/>
          <w:szCs w:val="20"/>
        </w:rPr>
        <w:t xml:space="preserve"> 5 và </w:t>
      </w:r>
      <w:r w:rsidR="004477FD" w:rsidRPr="004477FD">
        <w:rPr>
          <w:rFonts w:ascii="Arial" w:hAnsi="Arial" w:cs="Arial"/>
          <w:sz w:val="20"/>
          <w:szCs w:val="20"/>
        </w:rPr>
        <w:t>khoản</w:t>
      </w:r>
      <w:r w:rsidRPr="004477FD">
        <w:rPr>
          <w:rFonts w:ascii="Arial" w:hAnsi="Arial" w:cs="Arial"/>
          <w:sz w:val="20"/>
          <w:szCs w:val="20"/>
        </w:rPr>
        <w:t xml:space="preserve"> 6 </w:t>
      </w:r>
      <w:r w:rsidR="004477FD" w:rsidRPr="004477FD">
        <w:rPr>
          <w:rFonts w:ascii="Arial" w:hAnsi="Arial" w:cs="Arial"/>
          <w:sz w:val="20"/>
          <w:szCs w:val="20"/>
        </w:rPr>
        <w:t>Điều</w:t>
      </w:r>
      <w:r w:rsidRPr="004477FD">
        <w:rPr>
          <w:rFonts w:ascii="Arial" w:hAnsi="Arial" w:cs="Arial"/>
          <w:sz w:val="20"/>
          <w:szCs w:val="20"/>
        </w:rPr>
        <w:t xml:space="preserve"> 2 Nghị định số 34/2019/NĐ-CP</w:t>
      </w:r>
      <w:bookmarkEnd w:id="13"/>
      <w:r w:rsidRPr="004477FD">
        <w:rPr>
          <w:rFonts w:ascii="Arial" w:hAnsi="Arial" w:cs="Arial"/>
          <w:sz w:val="20"/>
          <w:szCs w:val="20"/>
        </w:rPr>
        <w:t xml:space="preserve"> ngày 24 tháng 4 năm 2019 của Chính phủ được tính theo mức lương cơ sở 1.800.000 đồng/tháng. Việc quy định cụ thể mức phụ cấp đối với các đối tượng </w:t>
      </w:r>
      <w:r w:rsidR="004477FD" w:rsidRPr="004477FD">
        <w:rPr>
          <w:rFonts w:ascii="Arial" w:hAnsi="Arial" w:cs="Arial"/>
          <w:sz w:val="20"/>
          <w:szCs w:val="20"/>
        </w:rPr>
        <w:t>này</w:t>
      </w:r>
      <w:r w:rsidRPr="004477FD">
        <w:rPr>
          <w:rFonts w:ascii="Arial" w:hAnsi="Arial" w:cs="Arial"/>
          <w:sz w:val="20"/>
          <w:szCs w:val="20"/>
        </w:rPr>
        <w:t xml:space="preserve"> thực hiện theo quy định tại </w:t>
      </w:r>
      <w:bookmarkStart w:id="14" w:name="dc_6"/>
      <w:r w:rsidR="004477FD" w:rsidRPr="004477FD">
        <w:rPr>
          <w:rFonts w:ascii="Arial" w:hAnsi="Arial" w:cs="Arial"/>
          <w:sz w:val="20"/>
          <w:szCs w:val="20"/>
        </w:rPr>
        <w:t>khoản</w:t>
      </w:r>
      <w:r w:rsidRPr="004477FD">
        <w:rPr>
          <w:rFonts w:ascii="Arial" w:hAnsi="Arial" w:cs="Arial"/>
          <w:sz w:val="20"/>
          <w:szCs w:val="20"/>
        </w:rPr>
        <w:t xml:space="preserve"> 5 và </w:t>
      </w:r>
      <w:r w:rsidR="004477FD" w:rsidRPr="004477FD">
        <w:rPr>
          <w:rFonts w:ascii="Arial" w:hAnsi="Arial" w:cs="Arial"/>
          <w:sz w:val="20"/>
          <w:szCs w:val="20"/>
        </w:rPr>
        <w:t>khoản</w:t>
      </w:r>
      <w:r w:rsidRPr="004477FD">
        <w:rPr>
          <w:rFonts w:ascii="Arial" w:hAnsi="Arial" w:cs="Arial"/>
          <w:sz w:val="20"/>
          <w:szCs w:val="20"/>
        </w:rPr>
        <w:t xml:space="preserve"> 6 </w:t>
      </w:r>
      <w:r w:rsidR="004477FD" w:rsidRPr="004477FD">
        <w:rPr>
          <w:rFonts w:ascii="Arial" w:hAnsi="Arial" w:cs="Arial"/>
          <w:sz w:val="20"/>
          <w:szCs w:val="20"/>
        </w:rPr>
        <w:t>Điều</w:t>
      </w:r>
      <w:r w:rsidRPr="004477FD">
        <w:rPr>
          <w:rFonts w:ascii="Arial" w:hAnsi="Arial" w:cs="Arial"/>
          <w:sz w:val="20"/>
          <w:szCs w:val="20"/>
        </w:rPr>
        <w:t xml:space="preserve"> 2 Nghị định số 34/2019/NĐ-CP</w:t>
      </w:r>
      <w:bookmarkEnd w:id="14"/>
      <w:r w:rsidRPr="004477FD">
        <w:rPr>
          <w:rFonts w:ascii="Arial" w:hAnsi="Arial" w:cs="Arial"/>
          <w:sz w:val="20"/>
          <w:szCs w:val="20"/>
        </w:rPr>
        <w:t>.</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b) </w:t>
      </w:r>
      <w:r w:rsidRPr="004477FD">
        <w:rPr>
          <w:rFonts w:ascii="Arial" w:hAnsi="Arial" w:cs="Arial"/>
          <w:sz w:val="20"/>
          <w:szCs w:val="20"/>
        </w:rPr>
        <w:t xml:space="preserve">Từ ngày 01 tháng 8 năm 2023, quỹ phụ cấp được ngân sách nhà nước khoán đối với mỗi cấp xã, mỗi thôn, tổ dân phố quy định tại </w:t>
      </w:r>
      <w:bookmarkStart w:id="15" w:name="dc_7"/>
      <w:r w:rsidR="004477FD" w:rsidRPr="004477FD">
        <w:rPr>
          <w:rFonts w:ascii="Arial" w:hAnsi="Arial" w:cs="Arial"/>
          <w:sz w:val="20"/>
          <w:szCs w:val="20"/>
        </w:rPr>
        <w:t>khoản</w:t>
      </w:r>
      <w:r w:rsidRPr="004477FD">
        <w:rPr>
          <w:rFonts w:ascii="Arial" w:hAnsi="Arial" w:cs="Arial"/>
          <w:sz w:val="20"/>
          <w:szCs w:val="20"/>
        </w:rPr>
        <w:t xml:space="preserve"> 1 và </w:t>
      </w:r>
      <w:r w:rsidR="004477FD" w:rsidRPr="004477FD">
        <w:rPr>
          <w:rFonts w:ascii="Arial" w:hAnsi="Arial" w:cs="Arial"/>
          <w:sz w:val="20"/>
          <w:szCs w:val="20"/>
        </w:rPr>
        <w:t>khoản</w:t>
      </w:r>
      <w:r w:rsidRPr="004477FD">
        <w:rPr>
          <w:rFonts w:ascii="Arial" w:hAnsi="Arial" w:cs="Arial"/>
          <w:sz w:val="20"/>
          <w:szCs w:val="20"/>
        </w:rPr>
        <w:t xml:space="preserve"> 2 </w:t>
      </w:r>
      <w:r w:rsidR="004477FD" w:rsidRPr="004477FD">
        <w:rPr>
          <w:rFonts w:ascii="Arial" w:hAnsi="Arial" w:cs="Arial"/>
          <w:sz w:val="20"/>
          <w:szCs w:val="20"/>
        </w:rPr>
        <w:t>Điều</w:t>
      </w:r>
      <w:r w:rsidRPr="004477FD">
        <w:rPr>
          <w:rFonts w:ascii="Arial" w:hAnsi="Arial" w:cs="Arial"/>
          <w:sz w:val="20"/>
          <w:szCs w:val="20"/>
        </w:rPr>
        <w:t xml:space="preserve"> 34 Nghị định số 33/2023/NĐ-CP</w:t>
      </w:r>
      <w:bookmarkEnd w:id="15"/>
      <w:r w:rsidRPr="004477FD">
        <w:rPr>
          <w:rFonts w:ascii="Arial" w:hAnsi="Arial" w:cs="Arial"/>
          <w:sz w:val="20"/>
          <w:szCs w:val="20"/>
        </w:rPr>
        <w:t xml:space="preserve"> ngày 10 tháng 6 năm 2023 của Chính phủ được tính theo mức lương cơ sở 1.800.000 đồng/tháng. Việc quy định cụ thể mức phụ cấp đối với các đối tượng </w:t>
      </w:r>
      <w:r w:rsidR="004477FD" w:rsidRPr="004477FD">
        <w:rPr>
          <w:rFonts w:ascii="Arial" w:hAnsi="Arial" w:cs="Arial"/>
          <w:sz w:val="20"/>
          <w:szCs w:val="20"/>
        </w:rPr>
        <w:t>này</w:t>
      </w:r>
      <w:r w:rsidRPr="004477FD">
        <w:rPr>
          <w:rFonts w:ascii="Arial" w:hAnsi="Arial" w:cs="Arial"/>
          <w:sz w:val="20"/>
          <w:szCs w:val="20"/>
        </w:rPr>
        <w:t xml:space="preserve"> thực hiện theo quy định tại </w:t>
      </w:r>
      <w:bookmarkStart w:id="16" w:name="dc_8"/>
      <w:r w:rsidR="004477FD" w:rsidRPr="004477FD">
        <w:rPr>
          <w:rFonts w:ascii="Arial" w:hAnsi="Arial" w:cs="Arial"/>
          <w:sz w:val="20"/>
          <w:szCs w:val="20"/>
        </w:rPr>
        <w:t>khoản</w:t>
      </w:r>
      <w:r w:rsidRPr="004477FD">
        <w:rPr>
          <w:rFonts w:ascii="Arial" w:hAnsi="Arial" w:cs="Arial"/>
          <w:sz w:val="20"/>
          <w:szCs w:val="20"/>
        </w:rPr>
        <w:t xml:space="preserve"> 1 và </w:t>
      </w:r>
      <w:r w:rsidR="004477FD" w:rsidRPr="004477FD">
        <w:rPr>
          <w:rFonts w:ascii="Arial" w:hAnsi="Arial" w:cs="Arial"/>
          <w:sz w:val="20"/>
          <w:szCs w:val="20"/>
        </w:rPr>
        <w:t>khoản</w:t>
      </w:r>
      <w:r w:rsidRPr="004477FD">
        <w:rPr>
          <w:rFonts w:ascii="Arial" w:hAnsi="Arial" w:cs="Arial"/>
          <w:sz w:val="20"/>
          <w:szCs w:val="20"/>
        </w:rPr>
        <w:t xml:space="preserve"> 2 </w:t>
      </w:r>
      <w:r w:rsidR="004477FD" w:rsidRPr="004477FD">
        <w:rPr>
          <w:rFonts w:ascii="Arial" w:hAnsi="Arial" w:cs="Arial"/>
          <w:sz w:val="20"/>
          <w:szCs w:val="20"/>
        </w:rPr>
        <w:t>Điều</w:t>
      </w:r>
      <w:r w:rsidRPr="004477FD">
        <w:rPr>
          <w:rFonts w:ascii="Arial" w:hAnsi="Arial" w:cs="Arial"/>
          <w:sz w:val="20"/>
          <w:szCs w:val="20"/>
        </w:rPr>
        <w:t xml:space="preserve"> 34 Nghị định số 33/2023/NĐ-CP</w:t>
      </w:r>
      <w:bookmarkEnd w:id="16"/>
      <w:r w:rsidRPr="004477FD">
        <w:rPr>
          <w:rFonts w:ascii="Arial" w:hAnsi="Arial" w:cs="Arial"/>
          <w:sz w:val="20"/>
          <w:szCs w:val="20"/>
        </w:rPr>
        <w:t>.</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4. </w:t>
      </w:r>
      <w:r w:rsidRPr="004477FD">
        <w:rPr>
          <w:rFonts w:ascii="Arial" w:hAnsi="Arial" w:cs="Arial"/>
          <w:sz w:val="20"/>
          <w:szCs w:val="20"/>
        </w:rPr>
        <w:t xml:space="preserve">Đối với người làm việc trong tổ chức cơ yếu quy định tại </w:t>
      </w:r>
      <w:bookmarkStart w:id="17" w:name="tc_4"/>
      <w:r w:rsidR="004477FD" w:rsidRPr="004477FD">
        <w:rPr>
          <w:rFonts w:ascii="Arial" w:hAnsi="Arial" w:cs="Arial"/>
          <w:sz w:val="20"/>
          <w:szCs w:val="20"/>
        </w:rPr>
        <w:t>khoản 7 Điều 1 Thông tư này</w:t>
      </w:r>
      <w:bookmarkEnd w:id="17"/>
      <w:r w:rsidRPr="004477FD">
        <w:rPr>
          <w:rFonts w:ascii="Arial" w:hAnsi="Arial" w:cs="Arial"/>
          <w:sz w:val="20"/>
          <w:szCs w:val="20"/>
        </w:rPr>
        <w:t>:</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a) </w:t>
      </w:r>
      <w:r w:rsidRPr="004477FD">
        <w:rPr>
          <w:rFonts w:ascii="Arial" w:hAnsi="Arial" w:cs="Arial"/>
          <w:sz w:val="20"/>
          <w:szCs w:val="20"/>
        </w:rPr>
        <w:t>Người làm việc trong tổ chức cơ yếu thuộc phạm vi quản lý của Bộ Quốc phòng và Bộ Công an thực hiện theo hướng dẫn của Bộ trưởng Bộ Quốc phòng và Bộ trưởng Bộ Công an;</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b) </w:t>
      </w:r>
      <w:r w:rsidRPr="004477FD">
        <w:rPr>
          <w:rFonts w:ascii="Arial" w:hAnsi="Arial" w:cs="Arial"/>
          <w:sz w:val="20"/>
          <w:szCs w:val="20"/>
        </w:rPr>
        <w:t xml:space="preserve">Người làm việc trong tổ chức cơ yếu trong các cơ quan Đảng, Nhà nước, tổ chức chính trị - xã hội (không thuộc phạm vi quản lý của Bộ Quốc phòng và Bộ Công an), thực hiện tính mức lương, mức phụ cấp và mức tiền của hệ số chênh lệch bảo lưu (nếu có) theo cách tính quy định tại </w:t>
      </w:r>
      <w:r w:rsidR="004477FD" w:rsidRPr="004477FD">
        <w:rPr>
          <w:rFonts w:ascii="Arial" w:hAnsi="Arial" w:cs="Arial"/>
          <w:sz w:val="20"/>
          <w:szCs w:val="20"/>
        </w:rPr>
        <w:t>khoản</w:t>
      </w:r>
      <w:r w:rsidRPr="004477FD">
        <w:rPr>
          <w:rFonts w:ascii="Arial" w:hAnsi="Arial" w:cs="Arial"/>
          <w:sz w:val="20"/>
          <w:szCs w:val="20"/>
        </w:rPr>
        <w:t xml:space="preserve"> 1 </w:t>
      </w:r>
      <w:r w:rsidR="004477FD" w:rsidRPr="004477FD">
        <w:rPr>
          <w:rFonts w:ascii="Arial" w:hAnsi="Arial" w:cs="Arial"/>
          <w:sz w:val="20"/>
          <w:szCs w:val="20"/>
        </w:rPr>
        <w:t>Điều</w:t>
      </w:r>
      <w:r w:rsidRPr="004477FD">
        <w:rPr>
          <w:rFonts w:ascii="Arial" w:hAnsi="Arial" w:cs="Arial"/>
          <w:sz w:val="20"/>
          <w:szCs w:val="20"/>
        </w:rPr>
        <w:t xml:space="preserve"> 3 </w:t>
      </w:r>
      <w:r w:rsidR="004477FD" w:rsidRPr="004477FD">
        <w:rPr>
          <w:rFonts w:ascii="Arial" w:hAnsi="Arial" w:cs="Arial"/>
          <w:sz w:val="20"/>
          <w:szCs w:val="20"/>
        </w:rPr>
        <w:t>Thông tư này</w:t>
      </w:r>
      <w:r w:rsidRPr="004477FD">
        <w:rPr>
          <w:rFonts w:ascii="Arial" w:hAnsi="Arial" w:cs="Arial"/>
          <w:sz w:val="20"/>
          <w:szCs w:val="20"/>
        </w:rPr>
        <w:t>.</w:t>
      </w:r>
    </w:p>
    <w:p w:rsidR="000D4FB4" w:rsidRPr="004477FD" w:rsidRDefault="004477FD" w:rsidP="008E2826">
      <w:pPr>
        <w:pStyle w:val="BodyText"/>
        <w:widowControl/>
        <w:shd w:val="clear" w:color="auto" w:fill="auto"/>
        <w:spacing w:before="120" w:after="0" w:line="240" w:lineRule="auto"/>
        <w:ind w:firstLine="0"/>
        <w:rPr>
          <w:rFonts w:ascii="Arial" w:hAnsi="Arial" w:cs="Arial"/>
          <w:sz w:val="20"/>
          <w:szCs w:val="20"/>
        </w:rPr>
      </w:pPr>
      <w:bookmarkStart w:id="18" w:name="dieu_4"/>
      <w:r w:rsidRPr="004477FD">
        <w:rPr>
          <w:rFonts w:ascii="Arial" w:hAnsi="Arial" w:cs="Arial"/>
          <w:b/>
          <w:bCs/>
          <w:sz w:val="20"/>
          <w:szCs w:val="20"/>
        </w:rPr>
        <w:t>Điều</w:t>
      </w:r>
      <w:r w:rsidR="000D4FB4" w:rsidRPr="004477FD">
        <w:rPr>
          <w:rFonts w:ascii="Arial" w:hAnsi="Arial" w:cs="Arial"/>
          <w:b/>
          <w:bCs/>
          <w:sz w:val="20"/>
          <w:szCs w:val="20"/>
        </w:rPr>
        <w:t xml:space="preserve"> 4. Hiệu lực thi hành</w:t>
      </w:r>
      <w:bookmarkEnd w:id="18"/>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1. </w:t>
      </w:r>
      <w:r w:rsidR="004477FD" w:rsidRPr="004477FD">
        <w:rPr>
          <w:rFonts w:ascii="Arial" w:hAnsi="Arial" w:cs="Arial"/>
          <w:sz w:val="20"/>
          <w:szCs w:val="20"/>
        </w:rPr>
        <w:t>Thông tư này</w:t>
      </w:r>
      <w:r w:rsidRPr="004477FD">
        <w:rPr>
          <w:rFonts w:ascii="Arial" w:hAnsi="Arial" w:cs="Arial"/>
          <w:sz w:val="20"/>
          <w:szCs w:val="20"/>
        </w:rPr>
        <w:t xml:space="preserve"> có hiệu lực thi hành kể từ ngày 01 tháng 7 năm 2023.</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2. </w:t>
      </w:r>
      <w:r w:rsidR="004477FD" w:rsidRPr="004477FD">
        <w:rPr>
          <w:rFonts w:ascii="Arial" w:hAnsi="Arial" w:cs="Arial"/>
          <w:sz w:val="20"/>
          <w:szCs w:val="20"/>
        </w:rPr>
        <w:t>Thông tư này</w:t>
      </w:r>
      <w:r w:rsidRPr="004477FD">
        <w:rPr>
          <w:rFonts w:ascii="Arial" w:hAnsi="Arial" w:cs="Arial"/>
          <w:sz w:val="20"/>
          <w:szCs w:val="20"/>
        </w:rPr>
        <w:t xml:space="preserve"> thay thế Thông tư số 04/2019/TT-BNV ngày 24 tháng 5 năm 2019 của Bộ trưởng Bộ Nội vụ hướng dẫn thực hiện mức lương cơ sở đối với các đối tượng hưởng lương, phụ cấp trong các cơ quan, tổ chức, đơn vị sự nghiệp công lập của Đảng, Nhà nước, tổ chức chính trị - xã hội và hội.</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3. </w:t>
      </w:r>
      <w:r w:rsidRPr="004477FD">
        <w:rPr>
          <w:rFonts w:ascii="Arial" w:hAnsi="Arial" w:cs="Arial"/>
          <w:sz w:val="20"/>
          <w:szCs w:val="20"/>
        </w:rPr>
        <w:t xml:space="preserve">Các </w:t>
      </w:r>
      <w:r w:rsidR="004477FD" w:rsidRPr="004477FD">
        <w:rPr>
          <w:rFonts w:ascii="Arial" w:hAnsi="Arial" w:cs="Arial"/>
          <w:sz w:val="20"/>
          <w:szCs w:val="20"/>
        </w:rPr>
        <w:t>khoản</w:t>
      </w:r>
      <w:r w:rsidRPr="004477FD">
        <w:rPr>
          <w:rFonts w:ascii="Arial" w:hAnsi="Arial" w:cs="Arial"/>
          <w:sz w:val="20"/>
          <w:szCs w:val="20"/>
        </w:rPr>
        <w:t xml:space="preserve"> trích và các chế độ được hưởng tính theo mức lương cơ sở được tính lại tương ứng từ ngày 01 tháng 7 năm 2023.</w:t>
      </w:r>
    </w:p>
    <w:p w:rsidR="000D4FB4" w:rsidRPr="004477FD" w:rsidRDefault="004477FD" w:rsidP="008E2826">
      <w:pPr>
        <w:pStyle w:val="BodyText"/>
        <w:widowControl/>
        <w:shd w:val="clear" w:color="auto" w:fill="auto"/>
        <w:spacing w:before="120" w:after="0" w:line="240" w:lineRule="auto"/>
        <w:ind w:firstLine="0"/>
        <w:rPr>
          <w:rFonts w:ascii="Arial" w:hAnsi="Arial" w:cs="Arial"/>
          <w:sz w:val="20"/>
          <w:szCs w:val="20"/>
        </w:rPr>
      </w:pPr>
      <w:bookmarkStart w:id="19" w:name="dieu_5"/>
      <w:r w:rsidRPr="004477FD">
        <w:rPr>
          <w:rFonts w:ascii="Arial" w:hAnsi="Arial" w:cs="Arial"/>
          <w:b/>
          <w:bCs/>
          <w:sz w:val="20"/>
          <w:szCs w:val="20"/>
        </w:rPr>
        <w:t>Điều</w:t>
      </w:r>
      <w:r w:rsidR="000D4FB4" w:rsidRPr="004477FD">
        <w:rPr>
          <w:rFonts w:ascii="Arial" w:hAnsi="Arial" w:cs="Arial"/>
          <w:b/>
          <w:bCs/>
          <w:sz w:val="20"/>
          <w:szCs w:val="20"/>
        </w:rPr>
        <w:t xml:space="preserve"> 5. Trách nhiệm thi hành</w:t>
      </w:r>
      <w:bookmarkEnd w:id="19"/>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1. </w:t>
      </w:r>
      <w:r w:rsidRPr="004477FD">
        <w:rPr>
          <w:rFonts w:ascii="Arial" w:hAnsi="Arial" w:cs="Arial"/>
          <w:sz w:val="20"/>
          <w:szCs w:val="20"/>
        </w:rPr>
        <w:t xml:space="preserve">Người đứng đầu cơ quan, đơn vị trực tiếp quản lý các đối tượng hưởng lương, phụ cấp và hoạt động phí quy định tại </w:t>
      </w:r>
      <w:bookmarkStart w:id="20" w:name="tc_6"/>
      <w:r w:rsidR="004477FD" w:rsidRPr="004477FD">
        <w:rPr>
          <w:rFonts w:ascii="Arial" w:hAnsi="Arial" w:cs="Arial"/>
          <w:sz w:val="20"/>
          <w:szCs w:val="20"/>
        </w:rPr>
        <w:t>Điều</w:t>
      </w:r>
      <w:r w:rsidRPr="004477FD">
        <w:rPr>
          <w:rFonts w:ascii="Arial" w:hAnsi="Arial" w:cs="Arial"/>
          <w:sz w:val="20"/>
          <w:szCs w:val="20"/>
        </w:rPr>
        <w:t xml:space="preserve"> 1 </w:t>
      </w:r>
      <w:r w:rsidR="004477FD" w:rsidRPr="004477FD">
        <w:rPr>
          <w:rFonts w:ascii="Arial" w:hAnsi="Arial" w:cs="Arial"/>
          <w:sz w:val="20"/>
          <w:szCs w:val="20"/>
        </w:rPr>
        <w:t>Thông tư này</w:t>
      </w:r>
      <w:bookmarkEnd w:id="20"/>
      <w:r w:rsidRPr="004477FD">
        <w:rPr>
          <w:rFonts w:ascii="Arial" w:hAnsi="Arial" w:cs="Arial"/>
          <w:sz w:val="20"/>
          <w:szCs w:val="20"/>
        </w:rPr>
        <w:t xml:space="preserve">, căn cứ vào số đối tượng đến ngày 01 tháng 7 năm 2023 để tính mức lương, mức phụ cấp, mức tiền của hệ số chênh lệch bảo lưu (nếu có) và hoạt động phí theo hướng dẫn tại </w:t>
      </w:r>
      <w:r w:rsidR="004477FD" w:rsidRPr="004477FD">
        <w:rPr>
          <w:rFonts w:ascii="Arial" w:hAnsi="Arial" w:cs="Arial"/>
          <w:sz w:val="20"/>
          <w:szCs w:val="20"/>
        </w:rPr>
        <w:t>Thông tư này</w:t>
      </w:r>
      <w:r w:rsidRPr="004477FD">
        <w:rPr>
          <w:rFonts w:ascii="Arial" w:hAnsi="Arial" w:cs="Arial"/>
          <w:sz w:val="20"/>
          <w:szCs w:val="20"/>
        </w:rPr>
        <w:t>.</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r w:rsidRPr="004477FD">
        <w:rPr>
          <w:rFonts w:ascii="Arial" w:hAnsi="Arial" w:cs="Arial"/>
          <w:sz w:val="20"/>
          <w:szCs w:val="20"/>
          <w:lang w:val="en-US"/>
        </w:rPr>
        <w:t xml:space="preserve">2. </w:t>
      </w:r>
      <w:r w:rsidRPr="004477FD">
        <w:rPr>
          <w:rFonts w:ascii="Arial" w:hAnsi="Arial" w:cs="Arial"/>
          <w:sz w:val="20"/>
          <w:szCs w:val="20"/>
        </w:rPr>
        <w:t>Việc xác định nhu cầu, nguồn và phương thức chi thực hiện mức lương cơ sở theo Nghị định số 24/2023/NĐ-CP thực hiện theo hướng dẫn của Bộ trưởng Bộ Tài chính.</w:t>
      </w:r>
    </w:p>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lang w:val="en-US" w:eastAsia="en-US" w:bidi="en-US"/>
        </w:rPr>
      </w:pPr>
      <w:r w:rsidRPr="004477FD">
        <w:rPr>
          <w:rFonts w:ascii="Arial" w:hAnsi="Arial" w:cs="Arial"/>
          <w:sz w:val="20"/>
          <w:szCs w:val="20"/>
        </w:rPr>
        <w:t xml:space="preserve">Trong quá trình thực hiện nếu có vướng mắc, đề nghị các Bộ, ngành, địa phương phản ánh về Bộ Nội vụ để nghiên cứu, giải </w:t>
      </w:r>
      <w:r w:rsidRPr="004477FD">
        <w:rPr>
          <w:rFonts w:ascii="Arial" w:hAnsi="Arial" w:cs="Arial"/>
          <w:sz w:val="20"/>
          <w:szCs w:val="20"/>
          <w:lang w:val="en-US" w:eastAsia="en-US" w:bidi="en-US"/>
        </w:rPr>
        <w:t>quyết./.</w:t>
      </w:r>
    </w:p>
    <w:p w:rsidR="00301BEF" w:rsidRPr="004477FD" w:rsidRDefault="00301BEF" w:rsidP="008E2826">
      <w:pPr>
        <w:pStyle w:val="BodyText"/>
        <w:widowControl/>
        <w:shd w:val="clear" w:color="auto" w:fill="auto"/>
        <w:spacing w:before="120" w:after="0" w:line="240" w:lineRule="auto"/>
        <w:ind w:firstLine="0"/>
        <w:rPr>
          <w:rFonts w:ascii="Arial" w:hAnsi="Arial" w:cs="Arial"/>
          <w:sz w:val="20"/>
          <w:szCs w:val="20"/>
          <w:lang w:val="en-US" w:eastAsia="en-US" w:bidi="en-US"/>
        </w:rPr>
      </w:pPr>
    </w:p>
    <w:tbl>
      <w:tblPr>
        <w:tblW w:w="5000" w:type="pct"/>
        <w:tblLook w:val="04A0" w:firstRow="1" w:lastRow="0" w:firstColumn="1" w:lastColumn="0" w:noHBand="0" w:noVBand="1"/>
      </w:tblPr>
      <w:tblGrid>
        <w:gridCol w:w="5288"/>
        <w:gridCol w:w="3999"/>
      </w:tblGrid>
      <w:tr w:rsidR="000D4FB4" w:rsidRPr="004477FD">
        <w:tc>
          <w:tcPr>
            <w:tcW w:w="2847" w:type="pct"/>
            <w:shd w:val="clear" w:color="auto" w:fill="auto"/>
          </w:tcPr>
          <w:p w:rsidR="00301BEF" w:rsidRPr="004477FD" w:rsidRDefault="00301BEF" w:rsidP="008E2826">
            <w:pPr>
              <w:pStyle w:val="Bodytext20"/>
              <w:widowControl/>
              <w:shd w:val="clear" w:color="auto" w:fill="auto"/>
              <w:spacing w:before="120"/>
              <w:rPr>
                <w:rFonts w:ascii="Arial" w:hAnsi="Arial" w:cs="Arial"/>
                <w:b/>
                <w:bCs/>
                <w:i/>
                <w:iCs/>
                <w:color w:val="auto"/>
                <w:sz w:val="20"/>
                <w:szCs w:val="20"/>
                <w:lang w:val="en-US"/>
              </w:rPr>
            </w:pPr>
          </w:p>
          <w:p w:rsidR="000D4FB4" w:rsidRPr="004477FD" w:rsidRDefault="000D4FB4" w:rsidP="008E2826">
            <w:pPr>
              <w:pStyle w:val="Bodytext20"/>
              <w:widowControl/>
              <w:shd w:val="clear" w:color="auto" w:fill="auto"/>
              <w:spacing w:before="120"/>
              <w:rPr>
                <w:rFonts w:ascii="Arial" w:hAnsi="Arial" w:cs="Arial"/>
                <w:color w:val="auto"/>
                <w:sz w:val="20"/>
                <w:szCs w:val="20"/>
                <w:lang w:val="en-US"/>
              </w:rPr>
            </w:pPr>
            <w:r w:rsidRPr="004477FD">
              <w:rPr>
                <w:rFonts w:ascii="Arial" w:hAnsi="Arial" w:cs="Arial"/>
                <w:b/>
                <w:bCs/>
                <w:i/>
                <w:iCs/>
                <w:color w:val="auto"/>
                <w:sz w:val="20"/>
                <w:szCs w:val="20"/>
              </w:rPr>
              <w:t>Nơi nhận:</w:t>
            </w:r>
            <w:r w:rsidR="00301BEF" w:rsidRPr="004477FD">
              <w:rPr>
                <w:rFonts w:ascii="Arial" w:hAnsi="Arial" w:cs="Arial"/>
                <w:b/>
                <w:i/>
                <w:color w:val="auto"/>
                <w:sz w:val="20"/>
                <w:szCs w:val="20"/>
                <w:lang w:val="en-US"/>
              </w:rPr>
              <w:br/>
            </w:r>
            <w:r w:rsidRPr="004477FD">
              <w:rPr>
                <w:rFonts w:ascii="Arial" w:hAnsi="Arial" w:cs="Arial"/>
                <w:color w:val="auto"/>
                <w:sz w:val="16"/>
                <w:szCs w:val="16"/>
                <w:lang w:val="en-US"/>
              </w:rPr>
              <w:t xml:space="preserve">- </w:t>
            </w:r>
            <w:r w:rsidRPr="004477FD">
              <w:rPr>
                <w:rFonts w:ascii="Arial" w:hAnsi="Arial" w:cs="Arial"/>
                <w:color w:val="auto"/>
                <w:sz w:val="16"/>
                <w:szCs w:val="16"/>
              </w:rPr>
              <w:t>Ban Bí thư Trung ương Đảng;</w:t>
            </w:r>
            <w:r w:rsidR="00301BEF" w:rsidRPr="004477FD">
              <w:rPr>
                <w:rFonts w:ascii="Arial" w:hAnsi="Arial" w:cs="Arial"/>
                <w:color w:val="auto"/>
                <w:sz w:val="16"/>
                <w:szCs w:val="16"/>
              </w:rPr>
              <w:br/>
            </w:r>
            <w:r w:rsidRPr="004477FD">
              <w:rPr>
                <w:rFonts w:ascii="Arial" w:hAnsi="Arial" w:cs="Arial"/>
                <w:color w:val="auto"/>
                <w:sz w:val="16"/>
                <w:szCs w:val="16"/>
                <w:lang w:val="en-US"/>
              </w:rPr>
              <w:t xml:space="preserve">- </w:t>
            </w:r>
            <w:r w:rsidRPr="004477FD">
              <w:rPr>
                <w:rFonts w:ascii="Arial" w:hAnsi="Arial" w:cs="Arial"/>
                <w:color w:val="auto"/>
                <w:sz w:val="16"/>
                <w:szCs w:val="16"/>
              </w:rPr>
              <w:t>Thủ tướng, các Phó Thủ tướng Chính phủ;</w:t>
            </w:r>
            <w:r w:rsidR="00301BEF" w:rsidRPr="004477FD">
              <w:rPr>
                <w:rFonts w:ascii="Arial" w:hAnsi="Arial" w:cs="Arial"/>
                <w:color w:val="auto"/>
                <w:sz w:val="16"/>
                <w:szCs w:val="16"/>
              </w:rPr>
              <w:br/>
            </w:r>
            <w:r w:rsidRPr="004477FD">
              <w:rPr>
                <w:rFonts w:ascii="Arial" w:hAnsi="Arial" w:cs="Arial"/>
                <w:color w:val="auto"/>
                <w:sz w:val="16"/>
                <w:szCs w:val="16"/>
                <w:lang w:val="en-US"/>
              </w:rPr>
              <w:t xml:space="preserve">- </w:t>
            </w:r>
            <w:r w:rsidRPr="004477FD">
              <w:rPr>
                <w:rFonts w:ascii="Arial" w:hAnsi="Arial" w:cs="Arial"/>
                <w:color w:val="auto"/>
                <w:sz w:val="16"/>
                <w:szCs w:val="16"/>
              </w:rPr>
              <w:t>Các Bộ, cơ quan ngang Bộ, cơ quan thuộc Chính phủ;</w:t>
            </w:r>
            <w:r w:rsidR="00301BEF" w:rsidRPr="004477FD">
              <w:rPr>
                <w:rFonts w:ascii="Arial" w:hAnsi="Arial" w:cs="Arial"/>
                <w:color w:val="auto"/>
                <w:sz w:val="16"/>
                <w:szCs w:val="16"/>
              </w:rPr>
              <w:br/>
            </w:r>
            <w:r w:rsidRPr="004477FD">
              <w:rPr>
                <w:rFonts w:ascii="Arial" w:hAnsi="Arial" w:cs="Arial"/>
                <w:color w:val="auto"/>
                <w:sz w:val="16"/>
                <w:szCs w:val="16"/>
                <w:lang w:val="en-US"/>
              </w:rPr>
              <w:t xml:space="preserve">- </w:t>
            </w:r>
            <w:r w:rsidRPr="004477FD">
              <w:rPr>
                <w:rFonts w:ascii="Arial" w:hAnsi="Arial" w:cs="Arial"/>
                <w:color w:val="auto"/>
                <w:sz w:val="16"/>
                <w:szCs w:val="16"/>
              </w:rPr>
              <w:t xml:space="preserve">HĐND, </w:t>
            </w:r>
            <w:r w:rsidRPr="004477FD">
              <w:rPr>
                <w:rFonts w:ascii="Arial" w:hAnsi="Arial" w:cs="Arial"/>
                <w:color w:val="auto"/>
                <w:sz w:val="16"/>
                <w:szCs w:val="16"/>
                <w:lang w:val="en-US"/>
              </w:rPr>
              <w:t>U</w:t>
            </w:r>
            <w:r w:rsidRPr="004477FD">
              <w:rPr>
                <w:rFonts w:ascii="Arial" w:hAnsi="Arial" w:cs="Arial"/>
                <w:color w:val="auto"/>
                <w:sz w:val="16"/>
                <w:szCs w:val="16"/>
              </w:rPr>
              <w:t>BND các tỉnh, TP trực thuộc TW;</w:t>
            </w:r>
            <w:r w:rsidR="00301BEF" w:rsidRPr="004477FD">
              <w:rPr>
                <w:rFonts w:ascii="Arial" w:hAnsi="Arial" w:cs="Arial"/>
                <w:color w:val="auto"/>
                <w:sz w:val="16"/>
                <w:szCs w:val="16"/>
              </w:rPr>
              <w:br/>
            </w:r>
            <w:r w:rsidRPr="004477FD">
              <w:rPr>
                <w:rFonts w:ascii="Arial" w:hAnsi="Arial" w:cs="Arial"/>
                <w:color w:val="auto"/>
                <w:sz w:val="16"/>
                <w:szCs w:val="16"/>
                <w:lang w:val="en-US"/>
              </w:rPr>
              <w:t xml:space="preserve">- </w:t>
            </w:r>
            <w:r w:rsidRPr="004477FD">
              <w:rPr>
                <w:rFonts w:ascii="Arial" w:hAnsi="Arial" w:cs="Arial"/>
                <w:color w:val="auto"/>
                <w:sz w:val="16"/>
                <w:szCs w:val="16"/>
              </w:rPr>
              <w:t>Văn phòng Trung ương và các Ban của Trung ương Đả</w:t>
            </w:r>
            <w:r w:rsidRPr="004477FD">
              <w:rPr>
                <w:rFonts w:ascii="Arial" w:hAnsi="Arial" w:cs="Arial"/>
                <w:color w:val="auto"/>
                <w:sz w:val="16"/>
                <w:szCs w:val="16"/>
                <w:lang w:val="en-US"/>
              </w:rPr>
              <w:t>ng;</w:t>
            </w:r>
            <w:r w:rsidR="00301BEF" w:rsidRPr="004477FD">
              <w:rPr>
                <w:rFonts w:ascii="Arial" w:hAnsi="Arial" w:cs="Arial"/>
                <w:color w:val="auto"/>
                <w:sz w:val="16"/>
                <w:szCs w:val="16"/>
                <w:lang w:val="en-US"/>
              </w:rPr>
              <w:br/>
            </w:r>
            <w:r w:rsidRPr="004477FD">
              <w:rPr>
                <w:rFonts w:ascii="Arial" w:hAnsi="Arial" w:cs="Arial"/>
                <w:color w:val="auto"/>
                <w:sz w:val="16"/>
                <w:szCs w:val="16"/>
                <w:lang w:val="en-US"/>
              </w:rPr>
              <w:t xml:space="preserve">- </w:t>
            </w:r>
            <w:r w:rsidRPr="004477FD">
              <w:rPr>
                <w:rFonts w:ascii="Arial" w:hAnsi="Arial" w:cs="Arial"/>
                <w:color w:val="auto"/>
                <w:sz w:val="16"/>
                <w:szCs w:val="16"/>
              </w:rPr>
              <w:t>Văn phòng Chủ tịch nước;</w:t>
            </w:r>
            <w:r w:rsidR="00301BEF" w:rsidRPr="004477FD">
              <w:rPr>
                <w:rFonts w:ascii="Arial" w:hAnsi="Arial" w:cs="Arial"/>
                <w:color w:val="auto"/>
                <w:sz w:val="16"/>
                <w:szCs w:val="16"/>
              </w:rPr>
              <w:br/>
            </w:r>
            <w:r w:rsidRPr="004477FD">
              <w:rPr>
                <w:rFonts w:ascii="Arial" w:hAnsi="Arial" w:cs="Arial"/>
                <w:color w:val="auto"/>
                <w:sz w:val="16"/>
                <w:szCs w:val="16"/>
                <w:lang w:val="en-US"/>
              </w:rPr>
              <w:t xml:space="preserve">- </w:t>
            </w:r>
            <w:r w:rsidRPr="004477FD">
              <w:rPr>
                <w:rFonts w:ascii="Arial" w:hAnsi="Arial" w:cs="Arial"/>
                <w:color w:val="auto"/>
                <w:sz w:val="16"/>
                <w:szCs w:val="16"/>
              </w:rPr>
              <w:t>Văn phòng Quốc hội;</w:t>
            </w:r>
            <w:r w:rsidR="00301BEF" w:rsidRPr="004477FD">
              <w:rPr>
                <w:rFonts w:ascii="Arial" w:hAnsi="Arial" w:cs="Arial"/>
                <w:color w:val="auto"/>
                <w:sz w:val="16"/>
                <w:szCs w:val="16"/>
              </w:rPr>
              <w:br/>
            </w:r>
            <w:r w:rsidRPr="004477FD">
              <w:rPr>
                <w:rFonts w:ascii="Arial" w:hAnsi="Arial" w:cs="Arial"/>
                <w:color w:val="auto"/>
                <w:sz w:val="16"/>
                <w:szCs w:val="16"/>
                <w:lang w:val="en-US"/>
              </w:rPr>
              <w:t xml:space="preserve">- </w:t>
            </w:r>
            <w:r w:rsidRPr="004477FD">
              <w:rPr>
                <w:rFonts w:ascii="Arial" w:hAnsi="Arial" w:cs="Arial"/>
                <w:color w:val="auto"/>
                <w:sz w:val="16"/>
                <w:szCs w:val="16"/>
              </w:rPr>
              <w:t xml:space="preserve">Hội đồng Dân tộc và các </w:t>
            </w:r>
            <w:r w:rsidRPr="004477FD">
              <w:rPr>
                <w:rFonts w:ascii="Arial" w:hAnsi="Arial" w:cs="Arial"/>
                <w:color w:val="auto"/>
                <w:sz w:val="16"/>
                <w:szCs w:val="16"/>
                <w:lang w:val="en-US"/>
              </w:rPr>
              <w:t>Ủ</w:t>
            </w:r>
            <w:r w:rsidRPr="004477FD">
              <w:rPr>
                <w:rFonts w:ascii="Arial" w:hAnsi="Arial" w:cs="Arial"/>
                <w:color w:val="auto"/>
                <w:sz w:val="16"/>
                <w:szCs w:val="16"/>
              </w:rPr>
              <w:t>y ban của Quốc hội;</w:t>
            </w:r>
            <w:r w:rsidR="00301BEF" w:rsidRPr="004477FD">
              <w:rPr>
                <w:rFonts w:ascii="Arial" w:hAnsi="Arial" w:cs="Arial"/>
                <w:color w:val="auto"/>
                <w:sz w:val="16"/>
                <w:szCs w:val="16"/>
              </w:rPr>
              <w:br/>
            </w:r>
            <w:r w:rsidRPr="004477FD">
              <w:rPr>
                <w:rFonts w:ascii="Arial" w:hAnsi="Arial" w:cs="Arial"/>
                <w:color w:val="auto"/>
                <w:sz w:val="16"/>
                <w:szCs w:val="16"/>
                <w:lang w:val="en-US"/>
              </w:rPr>
              <w:t xml:space="preserve">- </w:t>
            </w:r>
            <w:r w:rsidRPr="004477FD">
              <w:rPr>
                <w:rFonts w:ascii="Arial" w:hAnsi="Arial" w:cs="Arial"/>
                <w:color w:val="auto"/>
                <w:sz w:val="16"/>
                <w:szCs w:val="16"/>
              </w:rPr>
              <w:t>Tòa án nhân dân tối cao;</w:t>
            </w:r>
            <w:r w:rsidR="008E2826" w:rsidRPr="004477FD">
              <w:rPr>
                <w:rFonts w:ascii="Arial" w:hAnsi="Arial" w:cs="Arial"/>
                <w:color w:val="auto"/>
                <w:sz w:val="16"/>
                <w:szCs w:val="16"/>
                <w:lang w:val="en-US"/>
              </w:rPr>
              <w:br/>
              <w:t xml:space="preserve">- </w:t>
            </w:r>
            <w:r w:rsidR="008E2826" w:rsidRPr="004477FD">
              <w:rPr>
                <w:rFonts w:ascii="Arial" w:hAnsi="Arial" w:cs="Arial"/>
                <w:color w:val="auto"/>
                <w:sz w:val="16"/>
                <w:szCs w:val="16"/>
              </w:rPr>
              <w:t>Viện kiểm sát nhân dân tối cao;</w:t>
            </w:r>
            <w:r w:rsidR="008E2826" w:rsidRPr="004477FD">
              <w:rPr>
                <w:rFonts w:ascii="Arial" w:hAnsi="Arial" w:cs="Arial"/>
                <w:color w:val="auto"/>
                <w:sz w:val="16"/>
                <w:szCs w:val="16"/>
              </w:rPr>
              <w:br/>
            </w:r>
            <w:r w:rsidRPr="004477FD">
              <w:rPr>
                <w:rFonts w:ascii="Arial" w:hAnsi="Arial" w:cs="Arial"/>
                <w:color w:val="auto"/>
                <w:sz w:val="16"/>
                <w:szCs w:val="16"/>
                <w:lang w:val="en-US"/>
              </w:rPr>
              <w:t xml:space="preserve">- </w:t>
            </w:r>
            <w:r w:rsidRPr="004477FD">
              <w:rPr>
                <w:rFonts w:ascii="Arial" w:hAnsi="Arial" w:cs="Arial"/>
                <w:color w:val="auto"/>
                <w:sz w:val="16"/>
                <w:szCs w:val="16"/>
              </w:rPr>
              <w:t>Kiểm toán Nhà nước;</w:t>
            </w:r>
            <w:r w:rsidR="00301BEF" w:rsidRPr="004477FD">
              <w:rPr>
                <w:rFonts w:ascii="Arial" w:hAnsi="Arial" w:cs="Arial"/>
                <w:color w:val="auto"/>
                <w:sz w:val="16"/>
                <w:szCs w:val="16"/>
              </w:rPr>
              <w:br/>
            </w:r>
            <w:r w:rsidRPr="004477FD">
              <w:rPr>
                <w:rFonts w:ascii="Arial" w:hAnsi="Arial" w:cs="Arial"/>
                <w:color w:val="auto"/>
                <w:sz w:val="16"/>
                <w:szCs w:val="16"/>
                <w:lang w:val="en-US"/>
              </w:rPr>
              <w:t>- Ủ</w:t>
            </w:r>
            <w:r w:rsidRPr="004477FD">
              <w:rPr>
                <w:rFonts w:ascii="Arial" w:hAnsi="Arial" w:cs="Arial"/>
                <w:color w:val="auto"/>
                <w:sz w:val="16"/>
                <w:szCs w:val="16"/>
              </w:rPr>
              <w:t>y ban Giám sát tài chính Quốc gia;</w:t>
            </w:r>
            <w:r w:rsidR="00301BEF" w:rsidRPr="004477FD">
              <w:rPr>
                <w:rFonts w:ascii="Arial" w:hAnsi="Arial" w:cs="Arial"/>
                <w:color w:val="auto"/>
                <w:sz w:val="16"/>
                <w:szCs w:val="16"/>
              </w:rPr>
              <w:br/>
            </w:r>
            <w:r w:rsidRPr="004477FD">
              <w:rPr>
                <w:rFonts w:ascii="Arial" w:hAnsi="Arial" w:cs="Arial"/>
                <w:color w:val="auto"/>
                <w:sz w:val="16"/>
                <w:szCs w:val="16"/>
                <w:lang w:val="en-US" w:eastAsia="en-US" w:bidi="en-US"/>
              </w:rPr>
              <w:t xml:space="preserve">- UBTW </w:t>
            </w:r>
            <w:r w:rsidRPr="004477FD">
              <w:rPr>
                <w:rFonts w:ascii="Arial" w:hAnsi="Arial" w:cs="Arial"/>
                <w:color w:val="auto"/>
                <w:sz w:val="16"/>
                <w:szCs w:val="16"/>
              </w:rPr>
              <w:t>Mặt trận Tổ quốc Việt Nam;</w:t>
            </w:r>
            <w:r w:rsidR="00301BEF" w:rsidRPr="004477FD">
              <w:rPr>
                <w:rFonts w:ascii="Arial" w:hAnsi="Arial" w:cs="Arial"/>
                <w:color w:val="auto"/>
                <w:sz w:val="16"/>
                <w:szCs w:val="16"/>
              </w:rPr>
              <w:br/>
            </w:r>
            <w:r w:rsidRPr="004477FD">
              <w:rPr>
                <w:rFonts w:ascii="Arial" w:hAnsi="Arial" w:cs="Arial"/>
                <w:color w:val="auto"/>
                <w:sz w:val="16"/>
                <w:szCs w:val="16"/>
                <w:lang w:val="en-US"/>
              </w:rPr>
              <w:lastRenderedPageBreak/>
              <w:t xml:space="preserve">- </w:t>
            </w:r>
            <w:r w:rsidRPr="004477FD">
              <w:rPr>
                <w:rFonts w:ascii="Arial" w:hAnsi="Arial" w:cs="Arial"/>
                <w:color w:val="auto"/>
                <w:sz w:val="16"/>
                <w:szCs w:val="16"/>
              </w:rPr>
              <w:t>Cơ quan TW của các đoàn thể;</w:t>
            </w:r>
            <w:r w:rsidR="00301BEF" w:rsidRPr="004477FD">
              <w:rPr>
                <w:rFonts w:ascii="Arial" w:hAnsi="Arial" w:cs="Arial"/>
                <w:color w:val="auto"/>
                <w:sz w:val="16"/>
                <w:szCs w:val="16"/>
              </w:rPr>
              <w:br/>
            </w:r>
            <w:r w:rsidRPr="004477FD">
              <w:rPr>
                <w:rFonts w:ascii="Arial" w:hAnsi="Arial" w:cs="Arial"/>
                <w:color w:val="auto"/>
                <w:sz w:val="16"/>
                <w:szCs w:val="16"/>
                <w:lang w:val="en-US"/>
              </w:rPr>
              <w:t xml:space="preserve">- </w:t>
            </w:r>
            <w:r w:rsidRPr="004477FD">
              <w:rPr>
                <w:rFonts w:ascii="Arial" w:hAnsi="Arial" w:cs="Arial"/>
                <w:color w:val="auto"/>
                <w:sz w:val="16"/>
                <w:szCs w:val="16"/>
              </w:rPr>
              <w:t>Bộ Tư pháp (Cục Kiểm tra văn bản);</w:t>
            </w:r>
            <w:r w:rsidR="00301BEF" w:rsidRPr="004477FD">
              <w:rPr>
                <w:rFonts w:ascii="Arial" w:hAnsi="Arial" w:cs="Arial"/>
                <w:color w:val="auto"/>
                <w:sz w:val="16"/>
                <w:szCs w:val="16"/>
              </w:rPr>
              <w:br/>
            </w:r>
            <w:r w:rsidRPr="004477FD">
              <w:rPr>
                <w:rFonts w:ascii="Arial" w:hAnsi="Arial" w:cs="Arial"/>
                <w:color w:val="auto"/>
                <w:sz w:val="16"/>
                <w:szCs w:val="16"/>
                <w:lang w:val="en-US"/>
              </w:rPr>
              <w:t xml:space="preserve">- </w:t>
            </w:r>
            <w:r w:rsidRPr="004477FD">
              <w:rPr>
                <w:rFonts w:ascii="Arial" w:hAnsi="Arial" w:cs="Arial"/>
                <w:color w:val="auto"/>
                <w:sz w:val="16"/>
                <w:szCs w:val="16"/>
              </w:rPr>
              <w:t>Công báo;</w:t>
            </w:r>
            <w:r w:rsidR="00301BEF" w:rsidRPr="004477FD">
              <w:rPr>
                <w:rFonts w:ascii="Arial" w:hAnsi="Arial" w:cs="Arial"/>
                <w:color w:val="auto"/>
                <w:sz w:val="16"/>
                <w:szCs w:val="16"/>
              </w:rPr>
              <w:br/>
            </w:r>
            <w:r w:rsidRPr="004477FD">
              <w:rPr>
                <w:rFonts w:ascii="Arial" w:hAnsi="Arial" w:cs="Arial"/>
                <w:color w:val="auto"/>
                <w:sz w:val="16"/>
                <w:szCs w:val="16"/>
                <w:lang w:val="en-US"/>
              </w:rPr>
              <w:t xml:space="preserve">- </w:t>
            </w:r>
            <w:r w:rsidRPr="004477FD">
              <w:rPr>
                <w:rFonts w:ascii="Arial" w:hAnsi="Arial" w:cs="Arial"/>
                <w:color w:val="auto"/>
                <w:sz w:val="16"/>
                <w:szCs w:val="16"/>
              </w:rPr>
              <w:t>Cổng thông tin điện tử Chính phủ;</w:t>
            </w:r>
            <w:r w:rsidR="00301BEF" w:rsidRPr="004477FD">
              <w:rPr>
                <w:rFonts w:ascii="Arial" w:hAnsi="Arial" w:cs="Arial"/>
                <w:color w:val="auto"/>
                <w:sz w:val="16"/>
                <w:szCs w:val="16"/>
              </w:rPr>
              <w:br/>
            </w:r>
            <w:r w:rsidRPr="004477FD">
              <w:rPr>
                <w:rFonts w:ascii="Arial" w:hAnsi="Arial" w:cs="Arial"/>
                <w:color w:val="auto"/>
                <w:sz w:val="16"/>
                <w:szCs w:val="16"/>
                <w:lang w:val="en-US"/>
              </w:rPr>
              <w:t xml:space="preserve">- </w:t>
            </w:r>
            <w:r w:rsidRPr="004477FD">
              <w:rPr>
                <w:rFonts w:ascii="Arial" w:hAnsi="Arial" w:cs="Arial"/>
                <w:color w:val="auto"/>
                <w:sz w:val="16"/>
                <w:szCs w:val="16"/>
              </w:rPr>
              <w:t>Cổng thông tin điện tử Bộ Nội vụ;</w:t>
            </w:r>
            <w:r w:rsidR="00301BEF" w:rsidRPr="004477FD">
              <w:rPr>
                <w:rFonts w:ascii="Arial" w:hAnsi="Arial" w:cs="Arial"/>
                <w:color w:val="auto"/>
                <w:sz w:val="16"/>
                <w:szCs w:val="16"/>
              </w:rPr>
              <w:br/>
            </w:r>
            <w:r w:rsidRPr="004477FD">
              <w:rPr>
                <w:rFonts w:ascii="Arial" w:hAnsi="Arial" w:cs="Arial"/>
                <w:color w:val="auto"/>
                <w:sz w:val="16"/>
                <w:szCs w:val="16"/>
                <w:lang w:val="en-US"/>
              </w:rPr>
              <w:t xml:space="preserve">- </w:t>
            </w:r>
            <w:r w:rsidRPr="004477FD">
              <w:rPr>
                <w:rFonts w:ascii="Arial" w:hAnsi="Arial" w:cs="Arial"/>
                <w:color w:val="auto"/>
                <w:sz w:val="16"/>
                <w:szCs w:val="16"/>
              </w:rPr>
              <w:t>Bộ trư</w:t>
            </w:r>
            <w:r w:rsidRPr="004477FD">
              <w:rPr>
                <w:rFonts w:ascii="Arial" w:hAnsi="Arial" w:cs="Arial"/>
                <w:color w:val="auto"/>
                <w:sz w:val="16"/>
                <w:szCs w:val="16"/>
                <w:lang w:val="en-US"/>
              </w:rPr>
              <w:t>ở</w:t>
            </w:r>
            <w:r w:rsidRPr="004477FD">
              <w:rPr>
                <w:rFonts w:ascii="Arial" w:hAnsi="Arial" w:cs="Arial"/>
                <w:color w:val="auto"/>
                <w:sz w:val="16"/>
                <w:szCs w:val="16"/>
              </w:rPr>
              <w:t>ng và các Thứ trưởng;</w:t>
            </w:r>
            <w:r w:rsidR="00301BEF" w:rsidRPr="004477FD">
              <w:rPr>
                <w:rFonts w:ascii="Arial" w:hAnsi="Arial" w:cs="Arial"/>
                <w:color w:val="auto"/>
                <w:sz w:val="16"/>
                <w:szCs w:val="16"/>
              </w:rPr>
              <w:br/>
            </w:r>
            <w:r w:rsidRPr="004477FD">
              <w:rPr>
                <w:rFonts w:ascii="Arial" w:hAnsi="Arial" w:cs="Arial"/>
                <w:color w:val="auto"/>
                <w:sz w:val="16"/>
                <w:szCs w:val="16"/>
                <w:lang w:val="en-US"/>
              </w:rPr>
              <w:t xml:space="preserve">- </w:t>
            </w:r>
            <w:r w:rsidRPr="004477FD">
              <w:rPr>
                <w:rFonts w:ascii="Arial" w:hAnsi="Arial" w:cs="Arial"/>
                <w:color w:val="auto"/>
                <w:sz w:val="16"/>
                <w:szCs w:val="16"/>
              </w:rPr>
              <w:t>Các đơn vị thuộc và trực thuộc Bộ Nội vụ;</w:t>
            </w:r>
            <w:r w:rsidR="00301BEF" w:rsidRPr="004477FD">
              <w:rPr>
                <w:rFonts w:ascii="Arial" w:hAnsi="Arial" w:cs="Arial"/>
                <w:color w:val="auto"/>
                <w:sz w:val="16"/>
                <w:szCs w:val="16"/>
              </w:rPr>
              <w:br/>
            </w:r>
            <w:r w:rsidRPr="004477FD">
              <w:rPr>
                <w:rFonts w:ascii="Arial" w:hAnsi="Arial" w:cs="Arial"/>
                <w:color w:val="auto"/>
                <w:sz w:val="16"/>
                <w:szCs w:val="16"/>
                <w:lang w:val="en-US"/>
              </w:rPr>
              <w:t xml:space="preserve">- </w:t>
            </w:r>
            <w:r w:rsidRPr="004477FD">
              <w:rPr>
                <w:rFonts w:ascii="Arial" w:hAnsi="Arial" w:cs="Arial"/>
                <w:color w:val="auto"/>
                <w:sz w:val="16"/>
                <w:szCs w:val="16"/>
              </w:rPr>
              <w:t>Lưu: VT, Vụ</w:t>
            </w:r>
            <w:r w:rsidRPr="004477FD">
              <w:rPr>
                <w:rFonts w:ascii="Arial" w:hAnsi="Arial" w:cs="Arial"/>
                <w:color w:val="auto"/>
                <w:sz w:val="16"/>
                <w:szCs w:val="16"/>
                <w:lang w:val="en-US"/>
              </w:rPr>
              <w:t xml:space="preserve"> TL (10).</w:t>
            </w:r>
          </w:p>
        </w:tc>
        <w:tc>
          <w:tcPr>
            <w:tcW w:w="2153" w:type="pct"/>
            <w:shd w:val="clear" w:color="auto" w:fill="auto"/>
          </w:tcPr>
          <w:p w:rsidR="000D4FB4" w:rsidRPr="004477FD" w:rsidRDefault="000D4FB4" w:rsidP="008E2826">
            <w:pPr>
              <w:pStyle w:val="BodyText"/>
              <w:widowControl/>
              <w:shd w:val="clear" w:color="auto" w:fill="auto"/>
              <w:spacing w:before="120" w:after="0" w:line="240" w:lineRule="auto"/>
              <w:ind w:firstLine="0"/>
              <w:jc w:val="center"/>
              <w:rPr>
                <w:rFonts w:ascii="Arial" w:hAnsi="Arial" w:cs="Arial"/>
                <w:color w:val="auto"/>
                <w:sz w:val="20"/>
                <w:szCs w:val="20"/>
                <w:lang w:val="en-US"/>
              </w:rPr>
            </w:pPr>
            <w:r w:rsidRPr="004477FD">
              <w:rPr>
                <w:rFonts w:ascii="Arial" w:hAnsi="Arial" w:cs="Arial"/>
                <w:b/>
                <w:bCs/>
                <w:color w:val="auto"/>
                <w:sz w:val="20"/>
                <w:szCs w:val="20"/>
                <w:lang w:val="en-US"/>
              </w:rPr>
              <w:lastRenderedPageBreak/>
              <w:t>BỘ TRƯỞNG</w:t>
            </w:r>
            <w:r w:rsidR="00301BEF" w:rsidRPr="004477FD">
              <w:rPr>
                <w:rFonts w:ascii="Arial" w:hAnsi="Arial" w:cs="Arial"/>
                <w:b/>
                <w:bCs/>
                <w:color w:val="auto"/>
                <w:sz w:val="20"/>
                <w:szCs w:val="20"/>
                <w:lang w:val="en-US"/>
              </w:rPr>
              <w:br/>
            </w:r>
            <w:r w:rsidR="00301BEF" w:rsidRPr="004477FD">
              <w:rPr>
                <w:rFonts w:ascii="Arial" w:hAnsi="Arial" w:cs="Arial"/>
                <w:b/>
                <w:bCs/>
                <w:color w:val="auto"/>
                <w:sz w:val="20"/>
                <w:szCs w:val="20"/>
                <w:lang w:val="en-US"/>
              </w:rPr>
              <w:br/>
            </w:r>
            <w:r w:rsidR="00301BEF" w:rsidRPr="004477FD">
              <w:rPr>
                <w:rFonts w:ascii="Arial" w:hAnsi="Arial" w:cs="Arial"/>
                <w:b/>
                <w:bCs/>
                <w:color w:val="auto"/>
                <w:sz w:val="20"/>
                <w:szCs w:val="20"/>
                <w:lang w:val="en-US"/>
              </w:rPr>
              <w:br/>
            </w:r>
            <w:r w:rsidR="00301BEF" w:rsidRPr="004477FD">
              <w:rPr>
                <w:rFonts w:ascii="Arial" w:hAnsi="Arial" w:cs="Arial"/>
                <w:b/>
                <w:bCs/>
                <w:color w:val="auto"/>
                <w:sz w:val="20"/>
                <w:szCs w:val="20"/>
                <w:lang w:val="en-US"/>
              </w:rPr>
              <w:br/>
            </w:r>
            <w:r w:rsidR="00301BEF" w:rsidRPr="004477FD">
              <w:rPr>
                <w:rFonts w:ascii="Arial" w:hAnsi="Arial" w:cs="Arial"/>
                <w:b/>
                <w:bCs/>
                <w:color w:val="auto"/>
                <w:sz w:val="20"/>
                <w:szCs w:val="20"/>
                <w:lang w:val="en-US"/>
              </w:rPr>
              <w:br/>
            </w:r>
            <w:r w:rsidRPr="004477FD">
              <w:rPr>
                <w:rFonts w:ascii="Arial" w:hAnsi="Arial" w:cs="Arial"/>
                <w:b/>
                <w:bCs/>
                <w:color w:val="auto"/>
                <w:sz w:val="20"/>
                <w:szCs w:val="20"/>
                <w:lang w:val="en-US"/>
              </w:rPr>
              <w:t>Phạm Thị Thanh Trà</w:t>
            </w:r>
          </w:p>
        </w:tc>
      </w:tr>
    </w:tbl>
    <w:p w:rsidR="000D4FB4" w:rsidRPr="004477FD" w:rsidRDefault="000D4FB4" w:rsidP="008E2826">
      <w:pPr>
        <w:pStyle w:val="BodyText"/>
        <w:widowControl/>
        <w:shd w:val="clear" w:color="auto" w:fill="auto"/>
        <w:spacing w:before="120" w:after="0" w:line="240" w:lineRule="auto"/>
        <w:ind w:firstLine="0"/>
        <w:rPr>
          <w:rFonts w:ascii="Arial" w:hAnsi="Arial" w:cs="Arial"/>
          <w:sz w:val="20"/>
          <w:szCs w:val="20"/>
        </w:rPr>
      </w:pPr>
    </w:p>
    <w:sectPr w:rsidR="000D4FB4" w:rsidRPr="004477FD" w:rsidSect="00E36E44">
      <w:pgSz w:w="11906" w:h="16838"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823" w:rsidRDefault="001E5823">
      <w:r>
        <w:separator/>
      </w:r>
    </w:p>
  </w:endnote>
  <w:endnote w:type="continuationSeparator" w:id="0">
    <w:p w:rsidR="001E5823" w:rsidRDefault="001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823" w:rsidRDefault="001E5823"/>
  </w:footnote>
  <w:footnote w:type="continuationSeparator" w:id="0">
    <w:p w:rsidR="001E5823" w:rsidRDefault="001E582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E9D"/>
    <w:multiLevelType w:val="multilevel"/>
    <w:tmpl w:val="9AFAE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1642C"/>
    <w:multiLevelType w:val="multilevel"/>
    <w:tmpl w:val="77162C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CC680F"/>
    <w:multiLevelType w:val="multilevel"/>
    <w:tmpl w:val="BAF85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2F0741"/>
    <w:multiLevelType w:val="multilevel"/>
    <w:tmpl w:val="F5F45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0003CE"/>
    <w:multiLevelType w:val="multilevel"/>
    <w:tmpl w:val="2BD88C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361253"/>
    <w:multiLevelType w:val="multilevel"/>
    <w:tmpl w:val="5BA07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6F7B60"/>
    <w:multiLevelType w:val="multilevel"/>
    <w:tmpl w:val="DEDC3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E62E81"/>
    <w:multiLevelType w:val="multilevel"/>
    <w:tmpl w:val="702E2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8B409C"/>
    <w:multiLevelType w:val="multilevel"/>
    <w:tmpl w:val="B6A8D5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7A1D2E"/>
    <w:multiLevelType w:val="multilevel"/>
    <w:tmpl w:val="2A38EA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1B4D75"/>
    <w:multiLevelType w:val="multilevel"/>
    <w:tmpl w:val="87A8BE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FA50B2"/>
    <w:multiLevelType w:val="multilevel"/>
    <w:tmpl w:val="FA38B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DE54A3"/>
    <w:multiLevelType w:val="multilevel"/>
    <w:tmpl w:val="58C4E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D81313"/>
    <w:multiLevelType w:val="multilevel"/>
    <w:tmpl w:val="CC789F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6D3B36"/>
    <w:multiLevelType w:val="multilevel"/>
    <w:tmpl w:val="76540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53458F"/>
    <w:multiLevelType w:val="multilevel"/>
    <w:tmpl w:val="8A623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600B27"/>
    <w:multiLevelType w:val="multilevel"/>
    <w:tmpl w:val="35126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BB4260"/>
    <w:multiLevelType w:val="multilevel"/>
    <w:tmpl w:val="4D30C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0C0979"/>
    <w:multiLevelType w:val="multilevel"/>
    <w:tmpl w:val="0B368C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B546F7"/>
    <w:multiLevelType w:val="multilevel"/>
    <w:tmpl w:val="59882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E346D5"/>
    <w:multiLevelType w:val="multilevel"/>
    <w:tmpl w:val="13C0F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3E635E"/>
    <w:multiLevelType w:val="multilevel"/>
    <w:tmpl w:val="A1E0A2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5D336F"/>
    <w:multiLevelType w:val="multilevel"/>
    <w:tmpl w:val="C0F65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292406"/>
    <w:multiLevelType w:val="multilevel"/>
    <w:tmpl w:val="73029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3D44E44"/>
    <w:multiLevelType w:val="multilevel"/>
    <w:tmpl w:val="7F321C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E99780E"/>
    <w:multiLevelType w:val="multilevel"/>
    <w:tmpl w:val="FA3C6258"/>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6"/>
  </w:num>
  <w:num w:numId="3">
    <w:abstractNumId w:val="3"/>
  </w:num>
  <w:num w:numId="4">
    <w:abstractNumId w:val="6"/>
  </w:num>
  <w:num w:numId="5">
    <w:abstractNumId w:val="22"/>
  </w:num>
  <w:num w:numId="6">
    <w:abstractNumId w:val="2"/>
  </w:num>
  <w:num w:numId="7">
    <w:abstractNumId w:val="0"/>
  </w:num>
  <w:num w:numId="8">
    <w:abstractNumId w:val="23"/>
  </w:num>
  <w:num w:numId="9">
    <w:abstractNumId w:val="21"/>
  </w:num>
  <w:num w:numId="10">
    <w:abstractNumId w:val="10"/>
  </w:num>
  <w:num w:numId="11">
    <w:abstractNumId w:val="11"/>
  </w:num>
  <w:num w:numId="12">
    <w:abstractNumId w:val="17"/>
  </w:num>
  <w:num w:numId="13">
    <w:abstractNumId w:val="1"/>
  </w:num>
  <w:num w:numId="14">
    <w:abstractNumId w:val="12"/>
  </w:num>
  <w:num w:numId="15">
    <w:abstractNumId w:val="4"/>
  </w:num>
  <w:num w:numId="16">
    <w:abstractNumId w:val="5"/>
  </w:num>
  <w:num w:numId="17">
    <w:abstractNumId w:val="15"/>
  </w:num>
  <w:num w:numId="18">
    <w:abstractNumId w:val="18"/>
  </w:num>
  <w:num w:numId="19">
    <w:abstractNumId w:val="14"/>
  </w:num>
  <w:num w:numId="20">
    <w:abstractNumId w:val="13"/>
  </w:num>
  <w:num w:numId="21">
    <w:abstractNumId w:val="24"/>
  </w:num>
  <w:num w:numId="22">
    <w:abstractNumId w:val="7"/>
  </w:num>
  <w:num w:numId="23">
    <w:abstractNumId w:val="20"/>
  </w:num>
  <w:num w:numId="24">
    <w:abstractNumId w:val="8"/>
  </w:num>
  <w:num w:numId="25">
    <w:abstractNumId w:val="2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10E"/>
    <w:rsid w:val="00023F33"/>
    <w:rsid w:val="00084623"/>
    <w:rsid w:val="000966C1"/>
    <w:rsid w:val="00097EE1"/>
    <w:rsid w:val="000A1267"/>
    <w:rsid w:val="000D4FB4"/>
    <w:rsid w:val="00126A23"/>
    <w:rsid w:val="00134372"/>
    <w:rsid w:val="001368A8"/>
    <w:rsid w:val="00164F3D"/>
    <w:rsid w:val="00165BB1"/>
    <w:rsid w:val="0019262B"/>
    <w:rsid w:val="001A4D56"/>
    <w:rsid w:val="001B4420"/>
    <w:rsid w:val="001E5823"/>
    <w:rsid w:val="001F01E2"/>
    <w:rsid w:val="001F66D6"/>
    <w:rsid w:val="002016C4"/>
    <w:rsid w:val="00246A9C"/>
    <w:rsid w:val="002619C6"/>
    <w:rsid w:val="00296548"/>
    <w:rsid w:val="002D534B"/>
    <w:rsid w:val="00301BEF"/>
    <w:rsid w:val="00311D34"/>
    <w:rsid w:val="00355339"/>
    <w:rsid w:val="003A5CF8"/>
    <w:rsid w:val="003B585C"/>
    <w:rsid w:val="003D03DF"/>
    <w:rsid w:val="003D07C9"/>
    <w:rsid w:val="004209F8"/>
    <w:rsid w:val="004261FE"/>
    <w:rsid w:val="004477FD"/>
    <w:rsid w:val="004837BD"/>
    <w:rsid w:val="004B420B"/>
    <w:rsid w:val="005A253D"/>
    <w:rsid w:val="005B612E"/>
    <w:rsid w:val="005F24D1"/>
    <w:rsid w:val="00650CD5"/>
    <w:rsid w:val="006B4D3B"/>
    <w:rsid w:val="006C2EED"/>
    <w:rsid w:val="006E41CA"/>
    <w:rsid w:val="006E61DD"/>
    <w:rsid w:val="007538EB"/>
    <w:rsid w:val="00761896"/>
    <w:rsid w:val="00770467"/>
    <w:rsid w:val="007D633D"/>
    <w:rsid w:val="007E5CCB"/>
    <w:rsid w:val="00814488"/>
    <w:rsid w:val="0082532F"/>
    <w:rsid w:val="00831198"/>
    <w:rsid w:val="00832907"/>
    <w:rsid w:val="00845575"/>
    <w:rsid w:val="00887780"/>
    <w:rsid w:val="00890CE3"/>
    <w:rsid w:val="008A648E"/>
    <w:rsid w:val="008E2826"/>
    <w:rsid w:val="00937303"/>
    <w:rsid w:val="0094133C"/>
    <w:rsid w:val="00960E92"/>
    <w:rsid w:val="009A0DF2"/>
    <w:rsid w:val="00A068F1"/>
    <w:rsid w:val="00A505E3"/>
    <w:rsid w:val="00A7710E"/>
    <w:rsid w:val="00AB67FE"/>
    <w:rsid w:val="00AC531A"/>
    <w:rsid w:val="00AC6BBF"/>
    <w:rsid w:val="00B320FA"/>
    <w:rsid w:val="00BA6D9E"/>
    <w:rsid w:val="00BB7FB1"/>
    <w:rsid w:val="00BC4642"/>
    <w:rsid w:val="00C079EF"/>
    <w:rsid w:val="00C421E8"/>
    <w:rsid w:val="00C47057"/>
    <w:rsid w:val="00C7042C"/>
    <w:rsid w:val="00C72493"/>
    <w:rsid w:val="00C918AE"/>
    <w:rsid w:val="00CD0929"/>
    <w:rsid w:val="00CE0BE1"/>
    <w:rsid w:val="00CF43C9"/>
    <w:rsid w:val="00D2173F"/>
    <w:rsid w:val="00D46066"/>
    <w:rsid w:val="00D471F6"/>
    <w:rsid w:val="00D94295"/>
    <w:rsid w:val="00DD5686"/>
    <w:rsid w:val="00E140CE"/>
    <w:rsid w:val="00E17A71"/>
    <w:rsid w:val="00E36E44"/>
    <w:rsid w:val="00E66A03"/>
    <w:rsid w:val="00E7450A"/>
    <w:rsid w:val="00EC465B"/>
    <w:rsid w:val="00F440CE"/>
    <w:rsid w:val="00F45315"/>
    <w:rsid w:val="00F915D1"/>
    <w:rsid w:val="00FE264C"/>
    <w:rsid w:val="00FF2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link w:val="Char"/>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u w:val="none"/>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link w:val="Picturecaption0"/>
    <w:rPr>
      <w:rFonts w:ascii="Times New Roman" w:eastAsia="Times New Roman" w:hAnsi="Times New Roman" w:cs="Times New Roman"/>
      <w:b/>
      <w:bCs/>
      <w:i w:val="0"/>
      <w:iCs w:val="0"/>
      <w:smallCaps w:val="0"/>
      <w:strike w:val="0"/>
      <w:sz w:val="24"/>
      <w:szCs w:val="24"/>
      <w:u w:val="none"/>
    </w:rPr>
  </w:style>
  <w:style w:type="character" w:customStyle="1" w:styleId="Tablecaption">
    <w:name w:val="Table caption_"/>
    <w:link w:val="Tablecaption0"/>
    <w:rPr>
      <w:rFonts w:ascii="Times New Roman" w:eastAsia="Times New Roman" w:hAnsi="Times New Roman" w:cs="Times New Roman"/>
      <w:b w:val="0"/>
      <w:bCs w:val="0"/>
      <w:i/>
      <w:iCs/>
      <w:smallCaps w:val="0"/>
      <w:strike w:val="0"/>
      <w:sz w:val="22"/>
      <w:szCs w:val="22"/>
      <w:u w:val="none"/>
    </w:rPr>
  </w:style>
  <w:style w:type="character" w:customStyle="1" w:styleId="Other">
    <w:name w:val="Other_"/>
    <w:link w:val="Other0"/>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rPr>
  </w:style>
  <w:style w:type="paragraph" w:styleId="BodyText">
    <w:name w:val="Body Text"/>
    <w:basedOn w:val="Normal"/>
    <w:link w:val="BodyTextChar"/>
    <w:qFormat/>
    <w:pPr>
      <w:shd w:val="clear" w:color="auto" w:fill="FFFFFF"/>
      <w:spacing w:after="100" w:line="262"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hd w:val="clear" w:color="auto" w:fill="FFFFFF"/>
      <w:spacing w:line="228" w:lineRule="auto"/>
      <w:jc w:val="center"/>
    </w:pPr>
    <w:rPr>
      <w:rFonts w:ascii="Times New Roman" w:eastAsia="Times New Roman" w:hAnsi="Times New Roman" w:cs="Times New Roman"/>
      <w:b/>
      <w:bCs/>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i/>
      <w:iCs/>
      <w:sz w:val="22"/>
      <w:szCs w:val="22"/>
    </w:rPr>
  </w:style>
  <w:style w:type="paragraph" w:customStyle="1" w:styleId="Other0">
    <w:name w:val="Other"/>
    <w:basedOn w:val="Normal"/>
    <w:link w:val="Other"/>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329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0BE1"/>
    <w:pPr>
      <w:tabs>
        <w:tab w:val="center" w:pos="4680"/>
        <w:tab w:val="right" w:pos="9360"/>
      </w:tabs>
    </w:pPr>
  </w:style>
  <w:style w:type="character" w:customStyle="1" w:styleId="HeaderChar">
    <w:name w:val="Header Char"/>
    <w:link w:val="Header"/>
    <w:uiPriority w:val="99"/>
    <w:rsid w:val="00CE0BE1"/>
    <w:rPr>
      <w:color w:val="000000"/>
      <w:sz w:val="24"/>
      <w:szCs w:val="24"/>
      <w:lang w:val="vi-VN" w:eastAsia="vi-VN" w:bidi="vi-VN"/>
    </w:rPr>
  </w:style>
  <w:style w:type="paragraph" w:styleId="Footer">
    <w:name w:val="footer"/>
    <w:basedOn w:val="Normal"/>
    <w:link w:val="FooterChar"/>
    <w:uiPriority w:val="99"/>
    <w:unhideWhenUsed/>
    <w:rsid w:val="00CE0BE1"/>
    <w:pPr>
      <w:tabs>
        <w:tab w:val="center" w:pos="4680"/>
        <w:tab w:val="right" w:pos="9360"/>
      </w:tabs>
    </w:pPr>
  </w:style>
  <w:style w:type="character" w:customStyle="1" w:styleId="FooterChar">
    <w:name w:val="Footer Char"/>
    <w:link w:val="Footer"/>
    <w:uiPriority w:val="99"/>
    <w:rsid w:val="00CE0BE1"/>
    <w:rPr>
      <w:color w:val="000000"/>
      <w:sz w:val="24"/>
      <w:szCs w:val="24"/>
      <w:lang w:val="vi-VN" w:eastAsia="vi-VN" w:bidi="vi-VN"/>
    </w:rPr>
  </w:style>
  <w:style w:type="character" w:customStyle="1" w:styleId="Heading2">
    <w:name w:val="Heading #2_"/>
    <w:link w:val="Heading20"/>
    <w:rsid w:val="00E66A03"/>
    <w:rPr>
      <w:rFonts w:ascii="Times New Roman" w:eastAsia="Times New Roman" w:hAnsi="Times New Roman" w:cs="Times New Roman"/>
      <w:b/>
      <w:bCs/>
      <w:i/>
      <w:iCs/>
      <w:sz w:val="26"/>
      <w:szCs w:val="26"/>
      <w:shd w:val="clear" w:color="auto" w:fill="FFFFFF"/>
    </w:rPr>
  </w:style>
  <w:style w:type="paragraph" w:customStyle="1" w:styleId="Heading20">
    <w:name w:val="Heading #2"/>
    <w:basedOn w:val="Normal"/>
    <w:link w:val="Heading2"/>
    <w:rsid w:val="00E66A03"/>
    <w:pPr>
      <w:shd w:val="clear" w:color="auto" w:fill="FFFFFF"/>
      <w:spacing w:after="60" w:line="254" w:lineRule="auto"/>
      <w:ind w:firstLine="560"/>
      <w:outlineLvl w:val="1"/>
    </w:pPr>
    <w:rPr>
      <w:rFonts w:ascii="Times New Roman" w:eastAsia="Times New Roman" w:hAnsi="Times New Roman" w:cs="Times New Roman"/>
      <w:b/>
      <w:bCs/>
      <w:i/>
      <w:iCs/>
      <w:color w:val="auto"/>
      <w:sz w:val="26"/>
      <w:szCs w:val="26"/>
      <w:lang w:val="en-US" w:eastAsia="en-US" w:bidi="ar-SA"/>
    </w:rPr>
  </w:style>
  <w:style w:type="paragraph" w:customStyle="1" w:styleId="Char">
    <w:name w:val=" Char"/>
    <w:basedOn w:val="Normal"/>
    <w:link w:val="DefaultParagraphFont"/>
    <w:autoRedefine/>
    <w:rsid w:val="00246A9C"/>
    <w:pPr>
      <w:widowControl/>
      <w:spacing w:after="160" w:line="240" w:lineRule="exact"/>
    </w:pPr>
    <w:rPr>
      <w:rFonts w:ascii="Verdana" w:eastAsia="Times New Roman" w:hAnsi="Verdana" w:cs="Verdana"/>
      <w:color w:val="auto"/>
      <w:sz w:val="20"/>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link w:val="Char"/>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u w:val="none"/>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link w:val="Picturecaption0"/>
    <w:rPr>
      <w:rFonts w:ascii="Times New Roman" w:eastAsia="Times New Roman" w:hAnsi="Times New Roman" w:cs="Times New Roman"/>
      <w:b/>
      <w:bCs/>
      <w:i w:val="0"/>
      <w:iCs w:val="0"/>
      <w:smallCaps w:val="0"/>
      <w:strike w:val="0"/>
      <w:sz w:val="24"/>
      <w:szCs w:val="24"/>
      <w:u w:val="none"/>
    </w:rPr>
  </w:style>
  <w:style w:type="character" w:customStyle="1" w:styleId="Tablecaption">
    <w:name w:val="Table caption_"/>
    <w:link w:val="Tablecaption0"/>
    <w:rPr>
      <w:rFonts w:ascii="Times New Roman" w:eastAsia="Times New Roman" w:hAnsi="Times New Roman" w:cs="Times New Roman"/>
      <w:b w:val="0"/>
      <w:bCs w:val="0"/>
      <w:i/>
      <w:iCs/>
      <w:smallCaps w:val="0"/>
      <w:strike w:val="0"/>
      <w:sz w:val="22"/>
      <w:szCs w:val="22"/>
      <w:u w:val="none"/>
    </w:rPr>
  </w:style>
  <w:style w:type="character" w:customStyle="1" w:styleId="Other">
    <w:name w:val="Other_"/>
    <w:link w:val="Other0"/>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rPr>
  </w:style>
  <w:style w:type="paragraph" w:styleId="BodyText">
    <w:name w:val="Body Text"/>
    <w:basedOn w:val="Normal"/>
    <w:link w:val="BodyTextChar"/>
    <w:qFormat/>
    <w:pPr>
      <w:shd w:val="clear" w:color="auto" w:fill="FFFFFF"/>
      <w:spacing w:after="100" w:line="262"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hd w:val="clear" w:color="auto" w:fill="FFFFFF"/>
      <w:spacing w:line="228" w:lineRule="auto"/>
      <w:jc w:val="center"/>
    </w:pPr>
    <w:rPr>
      <w:rFonts w:ascii="Times New Roman" w:eastAsia="Times New Roman" w:hAnsi="Times New Roman" w:cs="Times New Roman"/>
      <w:b/>
      <w:bCs/>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i/>
      <w:iCs/>
      <w:sz w:val="22"/>
      <w:szCs w:val="22"/>
    </w:rPr>
  </w:style>
  <w:style w:type="paragraph" w:customStyle="1" w:styleId="Other0">
    <w:name w:val="Other"/>
    <w:basedOn w:val="Normal"/>
    <w:link w:val="Other"/>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329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0BE1"/>
    <w:pPr>
      <w:tabs>
        <w:tab w:val="center" w:pos="4680"/>
        <w:tab w:val="right" w:pos="9360"/>
      </w:tabs>
    </w:pPr>
  </w:style>
  <w:style w:type="character" w:customStyle="1" w:styleId="HeaderChar">
    <w:name w:val="Header Char"/>
    <w:link w:val="Header"/>
    <w:uiPriority w:val="99"/>
    <w:rsid w:val="00CE0BE1"/>
    <w:rPr>
      <w:color w:val="000000"/>
      <w:sz w:val="24"/>
      <w:szCs w:val="24"/>
      <w:lang w:val="vi-VN" w:eastAsia="vi-VN" w:bidi="vi-VN"/>
    </w:rPr>
  </w:style>
  <w:style w:type="paragraph" w:styleId="Footer">
    <w:name w:val="footer"/>
    <w:basedOn w:val="Normal"/>
    <w:link w:val="FooterChar"/>
    <w:uiPriority w:val="99"/>
    <w:unhideWhenUsed/>
    <w:rsid w:val="00CE0BE1"/>
    <w:pPr>
      <w:tabs>
        <w:tab w:val="center" w:pos="4680"/>
        <w:tab w:val="right" w:pos="9360"/>
      </w:tabs>
    </w:pPr>
  </w:style>
  <w:style w:type="character" w:customStyle="1" w:styleId="FooterChar">
    <w:name w:val="Footer Char"/>
    <w:link w:val="Footer"/>
    <w:uiPriority w:val="99"/>
    <w:rsid w:val="00CE0BE1"/>
    <w:rPr>
      <w:color w:val="000000"/>
      <w:sz w:val="24"/>
      <w:szCs w:val="24"/>
      <w:lang w:val="vi-VN" w:eastAsia="vi-VN" w:bidi="vi-VN"/>
    </w:rPr>
  </w:style>
  <w:style w:type="character" w:customStyle="1" w:styleId="Heading2">
    <w:name w:val="Heading #2_"/>
    <w:link w:val="Heading20"/>
    <w:rsid w:val="00E66A03"/>
    <w:rPr>
      <w:rFonts w:ascii="Times New Roman" w:eastAsia="Times New Roman" w:hAnsi="Times New Roman" w:cs="Times New Roman"/>
      <w:b/>
      <w:bCs/>
      <w:i/>
      <w:iCs/>
      <w:sz w:val="26"/>
      <w:szCs w:val="26"/>
      <w:shd w:val="clear" w:color="auto" w:fill="FFFFFF"/>
    </w:rPr>
  </w:style>
  <w:style w:type="paragraph" w:customStyle="1" w:styleId="Heading20">
    <w:name w:val="Heading #2"/>
    <w:basedOn w:val="Normal"/>
    <w:link w:val="Heading2"/>
    <w:rsid w:val="00E66A03"/>
    <w:pPr>
      <w:shd w:val="clear" w:color="auto" w:fill="FFFFFF"/>
      <w:spacing w:after="60" w:line="254" w:lineRule="auto"/>
      <w:ind w:firstLine="560"/>
      <w:outlineLvl w:val="1"/>
    </w:pPr>
    <w:rPr>
      <w:rFonts w:ascii="Times New Roman" w:eastAsia="Times New Roman" w:hAnsi="Times New Roman" w:cs="Times New Roman"/>
      <w:b/>
      <w:bCs/>
      <w:i/>
      <w:iCs/>
      <w:color w:val="auto"/>
      <w:sz w:val="26"/>
      <w:szCs w:val="26"/>
      <w:lang w:val="en-US" w:eastAsia="en-US" w:bidi="ar-SA"/>
    </w:rPr>
  </w:style>
  <w:style w:type="paragraph" w:customStyle="1" w:styleId="Char">
    <w:name w:val=" Char"/>
    <w:basedOn w:val="Normal"/>
    <w:link w:val="DefaultParagraphFont"/>
    <w:autoRedefine/>
    <w:rsid w:val="00246A9C"/>
    <w:pPr>
      <w:widowControl/>
      <w:spacing w:after="160" w:line="240" w:lineRule="exact"/>
    </w:pPr>
    <w:rPr>
      <w:rFonts w:ascii="Verdana" w:eastAsia="Times New Roman" w:hAnsi="Verdana" w:cs="Verdana"/>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49716">
      <w:bodyDiv w:val="1"/>
      <w:marLeft w:val="0"/>
      <w:marRight w:val="0"/>
      <w:marTop w:val="0"/>
      <w:marBottom w:val="0"/>
      <w:divBdr>
        <w:top w:val="none" w:sz="0" w:space="0" w:color="auto"/>
        <w:left w:val="none" w:sz="0" w:space="0" w:color="auto"/>
        <w:bottom w:val="none" w:sz="0" w:space="0" w:color="auto"/>
        <w:right w:val="none" w:sz="0" w:space="0" w:color="auto"/>
      </w:divBdr>
      <w:divsChild>
        <w:div w:id="1173491741">
          <w:marLeft w:val="0"/>
          <w:marRight w:val="0"/>
          <w:marTop w:val="0"/>
          <w:marBottom w:val="0"/>
          <w:divBdr>
            <w:top w:val="none" w:sz="0" w:space="0" w:color="auto"/>
            <w:left w:val="none" w:sz="0" w:space="0" w:color="auto"/>
            <w:bottom w:val="none" w:sz="0" w:space="0" w:color="auto"/>
            <w:right w:val="none" w:sz="0" w:space="0" w:color="auto"/>
          </w:divBdr>
          <w:divsChild>
            <w:div w:id="1673491599">
              <w:marLeft w:val="0"/>
              <w:marRight w:val="0"/>
              <w:marTop w:val="0"/>
              <w:marBottom w:val="0"/>
              <w:divBdr>
                <w:top w:val="none" w:sz="0" w:space="0" w:color="auto"/>
                <w:left w:val="none" w:sz="0" w:space="0" w:color="auto"/>
                <w:bottom w:val="none" w:sz="0" w:space="0" w:color="auto"/>
                <w:right w:val="none" w:sz="0" w:space="0" w:color="auto"/>
              </w:divBdr>
            </w:div>
          </w:divsChild>
        </w:div>
        <w:div w:id="2058434857">
          <w:marLeft w:val="0"/>
          <w:marRight w:val="0"/>
          <w:marTop w:val="0"/>
          <w:marBottom w:val="0"/>
          <w:divBdr>
            <w:top w:val="none" w:sz="0" w:space="0" w:color="auto"/>
            <w:left w:val="none" w:sz="0" w:space="0" w:color="auto"/>
            <w:bottom w:val="none" w:sz="0" w:space="0" w:color="auto"/>
            <w:right w:val="none" w:sz="0" w:space="0" w:color="auto"/>
          </w:divBdr>
          <w:divsChild>
            <w:div w:id="19109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84">
      <w:bodyDiv w:val="1"/>
      <w:marLeft w:val="0"/>
      <w:marRight w:val="0"/>
      <w:marTop w:val="0"/>
      <w:marBottom w:val="0"/>
      <w:divBdr>
        <w:top w:val="none" w:sz="0" w:space="0" w:color="auto"/>
        <w:left w:val="none" w:sz="0" w:space="0" w:color="auto"/>
        <w:bottom w:val="none" w:sz="0" w:space="0" w:color="auto"/>
        <w:right w:val="none" w:sz="0" w:space="0" w:color="auto"/>
      </w:divBdr>
      <w:divsChild>
        <w:div w:id="731662799">
          <w:marLeft w:val="0"/>
          <w:marRight w:val="0"/>
          <w:marTop w:val="0"/>
          <w:marBottom w:val="0"/>
          <w:divBdr>
            <w:top w:val="none" w:sz="0" w:space="0" w:color="auto"/>
            <w:left w:val="none" w:sz="0" w:space="0" w:color="auto"/>
            <w:bottom w:val="none" w:sz="0" w:space="0" w:color="auto"/>
            <w:right w:val="none" w:sz="0" w:space="0" w:color="auto"/>
          </w:divBdr>
          <w:divsChild>
            <w:div w:id="1308196707">
              <w:marLeft w:val="0"/>
              <w:marRight w:val="0"/>
              <w:marTop w:val="0"/>
              <w:marBottom w:val="0"/>
              <w:divBdr>
                <w:top w:val="none" w:sz="0" w:space="0" w:color="auto"/>
                <w:left w:val="none" w:sz="0" w:space="0" w:color="auto"/>
                <w:bottom w:val="none" w:sz="0" w:space="0" w:color="auto"/>
                <w:right w:val="none" w:sz="0" w:space="0" w:color="auto"/>
              </w:divBdr>
            </w:div>
          </w:divsChild>
        </w:div>
        <w:div w:id="1479759873">
          <w:marLeft w:val="0"/>
          <w:marRight w:val="0"/>
          <w:marTop w:val="0"/>
          <w:marBottom w:val="0"/>
          <w:divBdr>
            <w:top w:val="none" w:sz="0" w:space="0" w:color="auto"/>
            <w:left w:val="none" w:sz="0" w:space="0" w:color="auto"/>
            <w:bottom w:val="none" w:sz="0" w:space="0" w:color="auto"/>
            <w:right w:val="none" w:sz="0" w:space="0" w:color="auto"/>
          </w:divBdr>
          <w:divsChild>
            <w:div w:id="382097139">
              <w:marLeft w:val="0"/>
              <w:marRight w:val="0"/>
              <w:marTop w:val="0"/>
              <w:marBottom w:val="0"/>
              <w:divBdr>
                <w:top w:val="none" w:sz="0" w:space="0" w:color="auto"/>
                <w:left w:val="none" w:sz="0" w:space="0" w:color="auto"/>
                <w:bottom w:val="none" w:sz="0" w:space="0" w:color="auto"/>
                <w:right w:val="none" w:sz="0" w:space="0" w:color="auto"/>
              </w:divBdr>
            </w:div>
          </w:divsChild>
        </w:div>
        <w:div w:id="2112503992">
          <w:marLeft w:val="0"/>
          <w:marRight w:val="0"/>
          <w:marTop w:val="0"/>
          <w:marBottom w:val="0"/>
          <w:divBdr>
            <w:top w:val="none" w:sz="0" w:space="0" w:color="auto"/>
            <w:left w:val="none" w:sz="0" w:space="0" w:color="auto"/>
            <w:bottom w:val="none" w:sz="0" w:space="0" w:color="auto"/>
            <w:right w:val="none" w:sz="0" w:space="0" w:color="auto"/>
          </w:divBdr>
          <w:divsChild>
            <w:div w:id="8551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10004</CharactersWithSpaces>
  <SharedDoc>false</SharedDoc>
  <HyperlinkBase>https://luatminhkhue.vn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10/2023/TT-BNV quy định về mức lương cơ sở</dc:title>
  <dc:creator>Admin</dc:creator>
  <cp:keywords>mức lương cơ sở; đơn vị sự nghiệp; tổ chức chính trị - xã hội;</cp:keywords>
  <cp:lastModifiedBy>HP</cp:lastModifiedBy>
  <cp:revision>2</cp:revision>
  <dcterms:created xsi:type="dcterms:W3CDTF">2023-08-16T06:36:00Z</dcterms:created>
  <dcterms:modified xsi:type="dcterms:W3CDTF">2023-08-16T06:36:00Z</dcterms:modified>
</cp:coreProperties>
</file>