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6C" w:rsidRDefault="00305A6C" w:rsidP="00305A6C">
      <w:pPr>
        <w:pStyle w:val="NormalWeb"/>
        <w:shd w:val="clear" w:color="auto" w:fill="FFFFFF"/>
        <w:spacing w:before="0" w:beforeAutospacing="0" w:after="0" w:afterAutospacing="0" w:line="480" w:lineRule="auto"/>
        <w:jc w:val="center"/>
        <w:rPr>
          <w:rFonts w:ascii="Arial" w:hAnsi="Arial" w:cs="Arial"/>
          <w:b/>
          <w:color w:val="000000"/>
          <w:sz w:val="20"/>
          <w:szCs w:val="20"/>
          <w:lang w:val="vi-VN"/>
        </w:rPr>
      </w:pPr>
      <w:bookmarkStart w:id="0" w:name="chuong_pl_3_name"/>
    </w:p>
    <w:p w:rsidR="007C3107" w:rsidRDefault="007C3107" w:rsidP="00305A6C">
      <w:pPr>
        <w:pStyle w:val="NormalWeb"/>
        <w:shd w:val="clear" w:color="auto" w:fill="FFFFFF"/>
        <w:spacing w:before="0" w:beforeAutospacing="0" w:after="0" w:afterAutospacing="0" w:line="480" w:lineRule="auto"/>
        <w:jc w:val="center"/>
        <w:rPr>
          <w:rFonts w:ascii="Arial" w:hAnsi="Arial" w:cs="Arial"/>
          <w:color w:val="000000"/>
          <w:sz w:val="18"/>
          <w:szCs w:val="18"/>
        </w:rPr>
      </w:pPr>
      <w:r w:rsidRPr="00305A6C">
        <w:rPr>
          <w:rFonts w:ascii="Arial" w:hAnsi="Arial" w:cs="Arial"/>
          <w:b/>
          <w:color w:val="000000"/>
          <w:sz w:val="20"/>
          <w:szCs w:val="20"/>
          <w:lang w:val="vi-VN"/>
        </w:rPr>
        <w:t>DANH MỤ</w:t>
      </w:r>
      <w:r w:rsidR="00305A6C" w:rsidRPr="00305A6C">
        <w:rPr>
          <w:rFonts w:ascii="Arial" w:hAnsi="Arial" w:cs="Arial"/>
          <w:b/>
          <w:color w:val="000000"/>
          <w:sz w:val="20"/>
          <w:szCs w:val="20"/>
          <w:lang w:val="vi-VN"/>
        </w:rPr>
        <w:t>C CƠ SỞ DO CƠ QUAN CÔNG AN QUẢN</w:t>
      </w:r>
      <w:r w:rsidR="00305A6C" w:rsidRPr="00305A6C">
        <w:rPr>
          <w:rFonts w:ascii="Arial" w:hAnsi="Arial" w:cs="Arial"/>
          <w:b/>
          <w:color w:val="000000"/>
          <w:sz w:val="20"/>
          <w:szCs w:val="20"/>
        </w:rPr>
        <w:t xml:space="preserve"> </w:t>
      </w:r>
      <w:r w:rsidRPr="00305A6C">
        <w:rPr>
          <w:rFonts w:ascii="Arial" w:hAnsi="Arial" w:cs="Arial"/>
          <w:b/>
          <w:color w:val="000000"/>
          <w:sz w:val="20"/>
          <w:szCs w:val="20"/>
          <w:lang w:val="vi-VN"/>
        </w:rPr>
        <w:t>LÝ</w:t>
      </w:r>
      <w:bookmarkEnd w:id="0"/>
      <w:r>
        <w:rPr>
          <w:rFonts w:ascii="Arial" w:hAnsi="Arial" w:cs="Arial"/>
          <w:color w:val="000000"/>
          <w:sz w:val="20"/>
          <w:szCs w:val="20"/>
          <w:lang w:val="vi-VN"/>
        </w:rPr>
        <w:br/>
      </w:r>
      <w:r w:rsidR="00305A6C">
        <w:rPr>
          <w:rFonts w:ascii="Arial" w:hAnsi="Arial" w:cs="Arial"/>
          <w:i/>
          <w:iCs/>
          <w:color w:val="000000"/>
          <w:sz w:val="20"/>
          <w:szCs w:val="20"/>
          <w:lang w:val="vi-VN"/>
        </w:rPr>
        <w:t xml:space="preserve">Phụ lục III </w:t>
      </w:r>
      <w:r>
        <w:rPr>
          <w:rFonts w:ascii="Arial" w:hAnsi="Arial" w:cs="Arial"/>
          <w:i/>
          <w:iCs/>
          <w:color w:val="000000"/>
          <w:sz w:val="20"/>
          <w:szCs w:val="20"/>
          <w:lang w:val="vi-VN"/>
        </w:rPr>
        <w:t>Kèm theo Nghị định số: 136/2020/NĐ-CP ngày 24 tháng 11 năm 2020 của Chính phủ</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1. Trụ sở cơ quan nhà nước từ cấp huyện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2. Nhà chung cư cao từ 5 tầng trở lên hoặc có khối tích từ 5.000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 nhà tập thể, nhà ở ký túc xá cao từ 5 tầng trở lên hoặc có khối tích từ 2.500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 nhà hỗn hợp cao từ 5 tầng trở lên hoặc có khối tích từ 1.500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3. Nhà trẻ, trường mẫu giáo, mầm non có từ 100 cháu trở lên hoặc có tổng khối tích từ 1.000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 trường tiểu học, trung học cơ sở có tổng khối tích từ 2.000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 trường trung học phổ thông, trường phổ thông có nhiều cấp học; trường cao đẳng, đại học, học viện; trường trung cấp chuyên nghiệp; trường dạy nghề; cơ sở giáo dục thường xuyên; cơ sở giáo dục khác được thành lập theo Luật Giáo dục có tổng khối tích từ 1.000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4. Bệnh viện; phòng khám đa khoa, khám chuyên khoa, nhà điều dưỡng, phục hồi chức năng, chỉnh hình, nhà dưỡng lão, cơ sở phòng chống dịch bệnh, trung tâm y tế, cơ sở y tế khác được thành lập theo Luật Khám bệnh, chữa bệnh cao từ 3 tầng trở lên hoặc có tổng khối tích từ 1.000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5. Nhà hát, rạp chiếu phim, rạp xiếc; trung tâm hội nghị, tổ chức sự kiện cao từ 3 tầng trở lên hoặc có tổng khối tích từ 1.500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 nhà văn hóa, cơ sở kinh doanh dịch vụ karaoke, vũ trường cao từ 3 tầng trở lên hoặc khối tích từ 1.000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 quán bar, câu lạc bộ, thẩm mỹ viện, kinh doanh dịch vụ xoa bóp, công viên giải trí, vườn thú, thủy cung cao từ 3 tầng trở lên hoặc có tổng khối tích từ 1.500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6. Chợ hạng 1, chợ hạng 2; trung tâm thương mại, điện máy,</w:t>
      </w:r>
      <w:bookmarkStart w:id="1" w:name="_GoBack"/>
      <w:bookmarkEnd w:id="1"/>
      <w:r>
        <w:rPr>
          <w:rFonts w:ascii="Arial" w:hAnsi="Arial" w:cs="Arial"/>
          <w:color w:val="000000"/>
          <w:sz w:val="20"/>
          <w:szCs w:val="20"/>
          <w:lang w:val="vi-VN"/>
        </w:rPr>
        <w:t xml:space="preserve"> siêu thị, cửa hàng bách hóa, cửa hàng tiện ích, nhà hàng, cửa hàng ăn uống có tổng diện tích kinh doanh từ 300 m</w:t>
      </w:r>
      <w:r>
        <w:rPr>
          <w:rFonts w:ascii="Arial" w:hAnsi="Arial" w:cs="Arial"/>
          <w:color w:val="000000"/>
          <w:sz w:val="20"/>
          <w:szCs w:val="20"/>
          <w:vertAlign w:val="superscript"/>
          <w:lang w:val="vi-VN"/>
        </w:rPr>
        <w:t>2</w:t>
      </w:r>
      <w:r>
        <w:rPr>
          <w:rFonts w:ascii="Arial" w:hAnsi="Arial" w:cs="Arial"/>
          <w:color w:val="000000"/>
          <w:sz w:val="20"/>
          <w:szCs w:val="20"/>
          <w:lang w:val="vi-VN"/>
        </w:rPr>
        <w:t> trở lên hoặc có khối tích từ 1.000 m</w:t>
      </w:r>
      <w:r>
        <w:rPr>
          <w:rFonts w:ascii="Arial" w:hAnsi="Arial" w:cs="Arial"/>
          <w:color w:val="000000"/>
          <w:sz w:val="20"/>
          <w:szCs w:val="20"/>
          <w:vertAlign w:val="superscript"/>
          <w:lang w:val="vi-VN"/>
        </w:rPr>
        <w:t>3</w:t>
      </w:r>
      <w:r>
        <w:rPr>
          <w:rFonts w:ascii="Arial" w:hAnsi="Arial" w:cs="Arial"/>
          <w:color w:val="000000"/>
          <w:sz w:val="20"/>
          <w:szCs w:val="20"/>
          <w:lang w:val="vi-VN"/>
        </w:rPr>
        <w:t>.</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7. Khách sạn, nhà khách, nhà nghỉ cao từ 5 tầng trở lên hoặc có khối tích từ 1.500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 nhà trọ, cơ sở lưu trú khác được thành lập theo Luật Du lịch cao từ 3 tầng trở lên hoặc có khối tích từ 1.000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lastRenderedPageBreak/>
        <w:t>8. Nhà làm việc của doanh nghiệp, tổ chức chính trị, xã hội cao từ 5 tầng trở lên hoặc có tổng khối tích từ 1.500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9. Bảo tàng, thư viện, triển lãm, nhà trưng bày, nhà lưu trữ, nhà sách, nhà hội chợ có khối tích từ 1.500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 cơ sở tôn giáo có khối tích từ 5.000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10. Bưu điện, cơ sở truyền thanh, truyền hình, viễn thông cao từ 3 tầng trở lên hoặc có khối tích từ 1.500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 nhà lắp đặt thiết bị thông tin, trung tâm lưu trữ, quản lý dữ liệu có khối tích từ 1.000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11. Sân vận động; nhà thi đấu thể thao, cung thể thao trong nhà; trung tâm thể dục, thể thao; trường đua, trường bắn; cơ sở thể thao khác được thành lập theo Luật Thể dục, thể thao có khối tích từ 1.500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12. Cảng hàng không; đài kiểm soát không lưu; bến cảng biển; cảng cạn; cảng thủy nội địa; bến xe khách; trạm dừng nghỉ; nhà ga đường sắt, nhà chờ cáp treo vận chuyển người; công trình tàu điện ngầm; cơ sở đăng kiểm phương tiện giao thông cơ giới; cửa hàng kinh doanh, sửa chữa, bảo dưỡng ô tô, mô tô, xe gắn máy có diện tích kinh doanh từ 500 m</w:t>
      </w:r>
      <w:r>
        <w:rPr>
          <w:rFonts w:ascii="Arial" w:hAnsi="Arial" w:cs="Arial"/>
          <w:color w:val="000000"/>
          <w:sz w:val="20"/>
          <w:szCs w:val="20"/>
          <w:vertAlign w:val="superscript"/>
          <w:lang w:val="vi-VN"/>
        </w:rPr>
        <w:t>2</w:t>
      </w:r>
      <w:r>
        <w:rPr>
          <w:rFonts w:ascii="Arial" w:hAnsi="Arial" w:cs="Arial"/>
          <w:color w:val="000000"/>
          <w:sz w:val="20"/>
          <w:szCs w:val="20"/>
          <w:lang w:val="vi-VN"/>
        </w:rPr>
        <w:t> trở lên hoặc có khối tích từ 5.000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13. Gara để xe có sức chứa từ 10 xe ô tô trở lên; bãi trông giữ xe được thành lập theo quy định của pháp luật có sức chứa từ 20 xe ô tô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14. Hầm đường bộ, hầm đường sắt có chiều dài từ 500 m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15. Cơ sở hạt nhân; cơ sở sản xuất, kinh doanh, bảo quản, sử dụng vật liệu nổ công nghiệp và tiền chất thuốc nổ; kho vật liệu nổ công nghiệp, tiền chất thuốc nổ; cảng xuất, nhập vật liệu nổ công nghiệp, tiền chất thuốc nổ; kho vũ khí, công cụ hỗ trợ.</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16. Cơ sở khai thác, chế biến, sản xuất, vận chuyển, kinh doanh, bảo quản dầu mỏ và sản phẩm dầu mỏ, khí đốt trên đất liền; kho dầu mỏ và sản phẩm dầu mỏ, kho khí đốt; cảng xuất, nhập dầu mỏ và sản phẩm dầu mỏ, khí đốt; cửa hàng kinh doanh xăng dầu; cửa hàng kinh doanh chất lỏng dễ cháy, cửa hàng kinh doanh khí đốt có tổng lượng khí tồn chứa từ 150 kg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17. Cơ sở công nghiệp có hạng nguy hiểm cháy, nổ A, B; hạng nguy hiểm cháy, nổ C có tổng khối tích của các khối nhà có dây chuyền công nghệ sản xuất chính từ 2.500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 hạng nguy hiểm cháy, nổ D, E có tổng khối tích của các khối nhà có dây chuyền công nghệ sản xuất chính từ 5.000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lastRenderedPageBreak/>
        <w:t>18. Nhà máy điện; trạm biến áp có điện áp từ 110 kV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19. Hầm có hoạt động sản xuất, bảo quản, sử dụng chất cháy, nổ có tổng khối tích từ 1.500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 kho hàng hóa, vật tư cháy được hoặc hàng hóa vật tư không cháy đựng trong các bao bì cháy được có tổng khối tích từ 1.500 m</w:t>
      </w:r>
      <w:r>
        <w:rPr>
          <w:rFonts w:ascii="Arial" w:hAnsi="Arial" w:cs="Arial"/>
          <w:color w:val="000000"/>
          <w:sz w:val="20"/>
          <w:szCs w:val="20"/>
          <w:vertAlign w:val="superscript"/>
          <w:lang w:val="vi-VN"/>
        </w:rPr>
        <w:t>3</w:t>
      </w:r>
      <w:r>
        <w:rPr>
          <w:rFonts w:ascii="Arial" w:hAnsi="Arial" w:cs="Arial"/>
          <w:color w:val="000000"/>
          <w:sz w:val="20"/>
          <w:szCs w:val="20"/>
          <w:lang w:val="vi-VN"/>
        </w:rPr>
        <w:t> trở lên; bãi chứa hàng hóa, vật tư, phế liệu cháy được có diện tích từ 1.000 m</w:t>
      </w:r>
      <w:r>
        <w:rPr>
          <w:rFonts w:ascii="Arial" w:hAnsi="Arial" w:cs="Arial"/>
          <w:color w:val="000000"/>
          <w:sz w:val="20"/>
          <w:szCs w:val="20"/>
          <w:vertAlign w:val="superscript"/>
          <w:lang w:val="vi-VN"/>
        </w:rPr>
        <w:t>2</w:t>
      </w:r>
      <w:r>
        <w:rPr>
          <w:rFonts w:ascii="Arial" w:hAnsi="Arial" w:cs="Arial"/>
          <w:color w:val="000000"/>
          <w:sz w:val="20"/>
          <w:szCs w:val="20"/>
          <w:lang w:val="vi-VN"/>
        </w:rPr>
        <w:t>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20. Cơ sở khác không thuộc danh mục từ mục 1 đến mục 19 có trạm cấp xăng dầu nội bộ hoặc có sử dụng hệ thống cấp khí đốt trung tâm có tổng lượng khí sử dụng từ 70 kg trở lên.</w:t>
      </w:r>
    </w:p>
    <w:p w:rsidR="007C3107" w:rsidRDefault="007C3107" w:rsidP="00305A6C">
      <w:pPr>
        <w:pStyle w:val="NormalWeb"/>
        <w:shd w:val="clear" w:color="auto" w:fill="FFFFFF"/>
        <w:spacing w:before="120" w:beforeAutospacing="0" w:after="120" w:afterAutospacing="0" w:line="480" w:lineRule="auto"/>
        <w:jc w:val="both"/>
        <w:rPr>
          <w:rFonts w:ascii="Arial" w:hAnsi="Arial" w:cs="Arial"/>
          <w:color w:val="000000"/>
          <w:sz w:val="18"/>
          <w:szCs w:val="18"/>
        </w:rPr>
      </w:pPr>
      <w:r>
        <w:rPr>
          <w:rFonts w:ascii="Arial" w:hAnsi="Arial" w:cs="Arial"/>
          <w:color w:val="000000"/>
          <w:sz w:val="20"/>
          <w:szCs w:val="20"/>
          <w:lang w:val="vi-VN"/>
        </w:rPr>
        <w:t>21. Nhà để ở kết hợp sản xuất, kinh doanh hàng hóa, chất dễ cháy, hàng hóa đựng trong bao bì cháy được của hộ gia đình có tổng diện tích sản xuất, kinh doanh từ 300 m</w:t>
      </w:r>
      <w:r>
        <w:rPr>
          <w:rFonts w:ascii="Arial" w:hAnsi="Arial" w:cs="Arial"/>
          <w:color w:val="000000"/>
          <w:sz w:val="20"/>
          <w:szCs w:val="20"/>
          <w:vertAlign w:val="superscript"/>
          <w:lang w:val="vi-VN"/>
        </w:rPr>
        <w:t>2</w:t>
      </w:r>
      <w:r>
        <w:rPr>
          <w:rFonts w:ascii="Arial" w:hAnsi="Arial" w:cs="Arial"/>
          <w:color w:val="000000"/>
          <w:sz w:val="20"/>
          <w:szCs w:val="20"/>
          <w:lang w:val="vi-VN"/>
        </w:rPr>
        <w:t> trở lên./.</w:t>
      </w:r>
    </w:p>
    <w:p w:rsidR="00321AC2" w:rsidRDefault="00321AC2" w:rsidP="00305A6C">
      <w:pPr>
        <w:spacing w:line="480" w:lineRule="auto"/>
        <w:jc w:val="both"/>
      </w:pPr>
    </w:p>
    <w:sectPr w:rsidR="00321AC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02F" w:rsidRDefault="0021102F" w:rsidP="00305A6C">
      <w:pPr>
        <w:spacing w:after="0" w:line="240" w:lineRule="auto"/>
      </w:pPr>
      <w:r>
        <w:separator/>
      </w:r>
    </w:p>
  </w:endnote>
  <w:endnote w:type="continuationSeparator" w:id="0">
    <w:p w:rsidR="0021102F" w:rsidRDefault="0021102F" w:rsidP="0030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305A6C">
      <w:trPr>
        <w:jc w:val="right"/>
      </w:trPr>
      <w:tc>
        <w:tcPr>
          <w:tcW w:w="4795" w:type="dxa"/>
          <w:vAlign w:val="center"/>
        </w:tcPr>
        <w:sdt>
          <w:sdtPr>
            <w:rPr>
              <w:b/>
              <w:caps/>
              <w:color w:val="000000" w:themeColor="text1"/>
            </w:rPr>
            <w:alias w:val="Author"/>
            <w:tag w:val=""/>
            <w:id w:val="1534539408"/>
            <w:placeholder>
              <w:docPart w:val="7D3FF4263E2947F58082CA5A459BE5C2"/>
            </w:placeholder>
            <w:dataBinding w:prefixMappings="xmlns:ns0='http://purl.org/dc/elements/1.1/' xmlns:ns1='http://schemas.openxmlformats.org/package/2006/metadata/core-properties' " w:xpath="/ns1:coreProperties[1]/ns0:creator[1]" w:storeItemID="{6C3C8BC8-F283-45AE-878A-BAB7291924A1}"/>
            <w:text/>
          </w:sdtPr>
          <w:sdtContent>
            <w:p w:rsidR="00305A6C" w:rsidRDefault="00305A6C" w:rsidP="00305A6C">
              <w:pPr>
                <w:pStyle w:val="Header"/>
                <w:jc w:val="right"/>
                <w:rPr>
                  <w:caps/>
                  <w:color w:val="000000" w:themeColor="text1"/>
                </w:rPr>
              </w:pPr>
              <w:r w:rsidRPr="00305A6C">
                <w:rPr>
                  <w:b/>
                  <w:caps/>
                  <w:color w:val="000000" w:themeColor="text1"/>
                </w:rPr>
                <w:t>LUẬT MINH KHUÊ 1900 6162</w:t>
              </w:r>
            </w:p>
          </w:sdtContent>
        </w:sdt>
      </w:tc>
      <w:tc>
        <w:tcPr>
          <w:tcW w:w="250" w:type="pct"/>
          <w:shd w:val="clear" w:color="auto" w:fill="ED7D31" w:themeFill="accent2"/>
          <w:vAlign w:val="center"/>
        </w:tcPr>
        <w:p w:rsidR="00305A6C" w:rsidRDefault="00305A6C">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3</w:t>
          </w:r>
          <w:r>
            <w:rPr>
              <w:noProof/>
              <w:color w:val="FFFFFF" w:themeColor="background1"/>
            </w:rPr>
            <w:fldChar w:fldCharType="end"/>
          </w:r>
        </w:p>
      </w:tc>
    </w:tr>
  </w:tbl>
  <w:p w:rsidR="00305A6C" w:rsidRDefault="00305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02F" w:rsidRDefault="0021102F" w:rsidP="00305A6C">
      <w:pPr>
        <w:spacing w:after="0" w:line="240" w:lineRule="auto"/>
      </w:pPr>
      <w:r>
        <w:separator/>
      </w:r>
    </w:p>
  </w:footnote>
  <w:footnote w:type="continuationSeparator" w:id="0">
    <w:p w:rsidR="0021102F" w:rsidRDefault="0021102F" w:rsidP="00305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73"/>
      <w:gridCol w:w="8987"/>
    </w:tblGrid>
    <w:tr w:rsidR="00305A6C">
      <w:trPr>
        <w:jc w:val="right"/>
      </w:trPr>
      <w:tc>
        <w:tcPr>
          <w:tcW w:w="0" w:type="auto"/>
          <w:shd w:val="clear" w:color="auto" w:fill="ED7D31" w:themeFill="accent2"/>
          <w:vAlign w:val="center"/>
        </w:tcPr>
        <w:p w:rsidR="00305A6C" w:rsidRDefault="00305A6C">
          <w:pPr>
            <w:pStyle w:val="Header"/>
            <w:rPr>
              <w:caps/>
              <w:color w:val="FFFFFF" w:themeColor="background1"/>
            </w:rPr>
          </w:pPr>
        </w:p>
      </w:tc>
      <w:tc>
        <w:tcPr>
          <w:tcW w:w="0" w:type="auto"/>
          <w:shd w:val="clear" w:color="auto" w:fill="ED7D31" w:themeFill="accent2"/>
          <w:vAlign w:val="center"/>
        </w:tcPr>
        <w:p w:rsidR="00305A6C" w:rsidRDefault="00305A6C" w:rsidP="00305A6C">
          <w:pPr>
            <w:pStyle w:val="Header"/>
            <w:jc w:val="right"/>
            <w:rPr>
              <w:caps/>
              <w:color w:val="FFFFFF" w:themeColor="background1"/>
            </w:rPr>
          </w:pPr>
          <w:r>
            <w:rPr>
              <w:caps/>
              <w:color w:val="FFFFFF" w:themeColor="background1"/>
            </w:rPr>
            <w:t xml:space="preserve"> </w:t>
          </w:r>
          <w:sdt>
            <w:sdtPr>
              <w:rPr>
                <w:b/>
                <w:caps/>
                <w:color w:val="FFFFFF" w:themeColor="background1"/>
              </w:rPr>
              <w:alias w:val="Title"/>
              <w:tag w:val=""/>
              <w:id w:val="-773790484"/>
              <w:placeholder>
                <w:docPart w:val="0D1E89C20A2447B68F45D036DBEE4CDA"/>
              </w:placeholder>
              <w:dataBinding w:prefixMappings="xmlns:ns0='http://purl.org/dc/elements/1.1/' xmlns:ns1='http://schemas.openxmlformats.org/package/2006/metadata/core-properties' " w:xpath="/ns1:coreProperties[1]/ns0:title[1]" w:storeItemID="{6C3C8BC8-F283-45AE-878A-BAB7291924A1}"/>
              <w:text/>
            </w:sdtPr>
            <w:sdtContent>
              <w:r w:rsidRPr="00305A6C">
                <w:rPr>
                  <w:b/>
                  <w:caps/>
                  <w:color w:val="FFFFFF" w:themeColor="background1"/>
                </w:rPr>
                <w:t>CƠ SỞ PHẢI ĐỀ NGHỊ PHÊ DUYỆT PHƯƠNG ÁN CHỮA CHÁY</w:t>
              </w:r>
            </w:sdtContent>
          </w:sdt>
        </w:p>
      </w:tc>
    </w:tr>
  </w:tbl>
  <w:p w:rsidR="00305A6C" w:rsidRDefault="00305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07"/>
    <w:rsid w:val="0021102F"/>
    <w:rsid w:val="00305A6C"/>
    <w:rsid w:val="00321AC2"/>
    <w:rsid w:val="007C3107"/>
    <w:rsid w:val="00DC61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81F71-D26E-4E17-BA95-FC323E2B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31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A6C"/>
  </w:style>
  <w:style w:type="paragraph" w:styleId="Footer">
    <w:name w:val="footer"/>
    <w:basedOn w:val="Normal"/>
    <w:link w:val="FooterChar"/>
    <w:uiPriority w:val="99"/>
    <w:unhideWhenUsed/>
    <w:rsid w:val="0030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1E89C20A2447B68F45D036DBEE4CDA"/>
        <w:category>
          <w:name w:val="General"/>
          <w:gallery w:val="placeholder"/>
        </w:category>
        <w:types>
          <w:type w:val="bbPlcHdr"/>
        </w:types>
        <w:behaviors>
          <w:behavior w:val="content"/>
        </w:behaviors>
        <w:guid w:val="{866492E0-8D08-42C0-93F3-1E41ED112CFB}"/>
      </w:docPartPr>
      <w:docPartBody>
        <w:p w:rsidR="00000000" w:rsidRDefault="00196A2B" w:rsidP="00196A2B">
          <w:pPr>
            <w:pStyle w:val="0D1E89C20A2447B68F45D036DBEE4CDA"/>
          </w:pPr>
          <w:r>
            <w:rPr>
              <w:caps/>
              <w:color w:val="FFFFFF" w:themeColor="background1"/>
            </w:rPr>
            <w:t>[Document title]</w:t>
          </w:r>
        </w:p>
      </w:docPartBody>
    </w:docPart>
    <w:docPart>
      <w:docPartPr>
        <w:name w:val="7D3FF4263E2947F58082CA5A459BE5C2"/>
        <w:category>
          <w:name w:val="General"/>
          <w:gallery w:val="placeholder"/>
        </w:category>
        <w:types>
          <w:type w:val="bbPlcHdr"/>
        </w:types>
        <w:behaviors>
          <w:behavior w:val="content"/>
        </w:behaviors>
        <w:guid w:val="{48DEFE62-1EB4-4809-BF87-49B5D75C722D}"/>
      </w:docPartPr>
      <w:docPartBody>
        <w:p w:rsidR="00000000" w:rsidRDefault="00196A2B" w:rsidP="00196A2B">
          <w:pPr>
            <w:pStyle w:val="7D3FF4263E2947F58082CA5A459BE5C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2B"/>
    <w:rsid w:val="00196A2B"/>
    <w:rsid w:val="0037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1E89C20A2447B68F45D036DBEE4CDA">
    <w:name w:val="0D1E89C20A2447B68F45D036DBEE4CDA"/>
    <w:rsid w:val="00196A2B"/>
  </w:style>
  <w:style w:type="paragraph" w:customStyle="1" w:styleId="7D3FF4263E2947F58082CA5A459BE5C2">
    <w:name w:val="7D3FF4263E2947F58082CA5A459BE5C2"/>
    <w:rsid w:val="00196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CƠ SỞ PHẢI ĐỀ NGHỊ PHÊ DUYỆT PHƯƠNG ÁN CHỮA CHÁY</dc:title>
  <dc:subject/>
  <dc:creator>LUẬT MINH KHUÊ 1900 6162</dc:creator>
  <cp:keywords/>
  <dc:description/>
  <cp:lastModifiedBy>ADMIN</cp:lastModifiedBy>
  <cp:revision>2</cp:revision>
  <dcterms:created xsi:type="dcterms:W3CDTF">2022-02-15T07:46:00Z</dcterms:created>
  <dcterms:modified xsi:type="dcterms:W3CDTF">2022-02-15T07:47:00Z</dcterms:modified>
</cp:coreProperties>
</file>