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(Ban hành kèm theo Thông tư số 116/2020/TT-BTC ngày 31 tháng 12 năm 2020 của Bộ trưởng Bộ Tài chính)</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TÊN CÔNG TY</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w:t>
      </w:r>
      <w:r w:rsidRPr="004B67A5">
        <w:rPr>
          <w:rFonts w:ascii="Arial" w:hAnsi="Arial" w:cs="Arial"/>
          <w:b/>
          <w:sz w:val="24"/>
          <w:szCs w:val="24"/>
        </w:rPr>
        <w:tab/>
        <w:t>CỘNG HÒA XÃ HỘI CHỦ NGHĨA VIỆT NAM</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Độc lập - Tự do - Hạnh phúc</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w:t>
      </w:r>
    </w:p>
    <w:p w:rsidR="004B67A5" w:rsidRPr="004B67A5" w:rsidRDefault="004B67A5" w:rsidP="004B67A5">
      <w:pPr>
        <w:spacing w:line="360" w:lineRule="auto"/>
        <w:jc w:val="center"/>
        <w:rPr>
          <w:rFonts w:ascii="Arial" w:hAnsi="Arial" w:cs="Arial"/>
          <w:sz w:val="24"/>
          <w:szCs w:val="24"/>
        </w:rPr>
      </w:pPr>
      <w:r w:rsidRPr="004B67A5">
        <w:rPr>
          <w:rFonts w:ascii="Arial" w:hAnsi="Arial" w:cs="Arial"/>
          <w:sz w:val="24"/>
          <w:szCs w:val="24"/>
        </w:rPr>
        <w:t>…, ngày … tháng … năm 20…</w:t>
      </w:r>
    </w:p>
    <w:p w:rsidR="004B67A5" w:rsidRPr="004B67A5" w:rsidRDefault="004B67A5" w:rsidP="004B67A5">
      <w:pPr>
        <w:spacing w:line="360" w:lineRule="auto"/>
        <w:jc w:val="center"/>
        <w:rPr>
          <w:rFonts w:ascii="Arial" w:hAnsi="Arial" w:cs="Arial"/>
          <w:b/>
          <w:sz w:val="24"/>
          <w:szCs w:val="24"/>
        </w:rPr>
      </w:pP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MẪU QUY CHẾ NỘI BỘ VỀ QUẢN TRỊ CÔNG TY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Căn cứ Luật Chứng khoán ngày 26 tháng 11 năm 2019;</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Căn cứ Luật Doanh nghiệp ngày 17 tháng 6 năm 2020;</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Căn cứ Nghị định số 155/2020/NĐ-CP ngày 31 tháng 12 năm 2020 của Chính phủ quy định chi tiết thi hành một số điều của Luật Chứng khoán;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Căn cứ Điều lệ Công ty cổ phần...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Căn cứ Nghị quyết Đại hội đồng cổ đông số ... ngày... tháng... năm...</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Hội đồng quản trị ban hành Quy chế nội bộ về quản trị công ty Công ty cổ phần...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Quy chế nội bộ về quản trị công ty Công ty cổ phần...bao gồm các nội dung sau:</w:t>
      </w:r>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1. Phạm vi điều chỉnh và đối tượng áp dụng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 xml:space="preserve">1. Phạm vi điều chỉnh: Quy chế nội bộ về quản trị công ty quy định các nội dung về vai trò, quyền và nghĩa vụ của Đại hội đồng cổ đông, Hội đồng quản trị, Giám đốc (Tổng </w:t>
      </w:r>
      <w:r w:rsidRPr="004B67A5">
        <w:rPr>
          <w:rFonts w:ascii="Arial" w:hAnsi="Arial" w:cs="Arial"/>
          <w:sz w:val="24"/>
          <w:szCs w:val="24"/>
        </w:rPr>
        <w:lastRenderedPageBreak/>
        <w:t>Giám đốc); trình tự, thủ tục họp Đại hội đồng cổ đông; đề cử, ứng cử, bầu, miễn nhiệm và bãi nhiệm thành viên Hội đồng quản trị, Ban kiểm soát, Giám đốc (Tổng Giám đốc) và các hoạt động khác theo quy định tại Điều lệ công ty và các quy định hiện hành khác của pháp luật.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2. Đối tượng áp dụng: Quy chế này được áp dụng cho các thành viên Hội đồng quản trị, Ban kiểm soát, Giám đốc (Tổng Giám đốc) và những người liên quan.</w:t>
      </w:r>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2.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1. Vai trò, quyền và nghĩa vụ của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2. Trình tự, thủ tục họp Đại hội đồng cổ đông thông qua nghị quyết bằng hình thức biểu quyết tại cuộc họp Đại hội đồng cổ đông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Thẩm quyền triệu tập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Lập Danh sách cổ đông có quyền dự họp;</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Thông báo về việc chốt danh sách cổ đông có quyền tham dự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Thông báo triệu tập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Chương trình, nội dung Đại hội đồng cổ đông (người có nhiệm vụ chuẩn bị chương trình, nội dung Đại hội đồng cổ đông; quy định về kiến nghị của cổ đông đưa vào chương trình họp);</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Việc ủy quyền cho người đại diện dự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Cách thức đăng ký tham dự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 Điều kiện tiến hành;</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i) Hình thức thông qua nghị quyết của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k) Cách thức bỏ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l) Cách thức kiểm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m) Điều kiện để nghị quyết được thông qua;</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lastRenderedPageBreak/>
        <w:t>n) Thông báo kết quả kiểm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o) Cách thức phản đối nghị quyết của Đại hội đồng cổ đông (theo quy định tại Điều 132 Luật Doanh nghiệp);</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p) Lập biên bản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q) Công bố Nghị quyết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3. Trình tự, thủ tục họp Đại hội đồng cổ đông thông qua nghị quyết bằng hình thức lấy ý kiến bằng văn bản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Các trường hợp được và không được lấy ý kiến bằng văn bản;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Trình tự, thủ tục họp Đại hội đồng cổ đông thông qua Nghị quyết bằng hình thức lấy ý kiến bằng văn bản.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4. Trình tự, thủ tục họp Đại hội đồng cổ đông thông qua nghị quyết bằng hình thức hội nghị trực tuyến (bao gồm trình tự, thủ tục tổ chức cuộc họp và biểu quyết), trong đó lưu ý quy định rõ các nội dung sau: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Thông báo triệu tập họp Đại hội đồng cổ đông trực tuyến;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Cách thức đăng ký tham dự Đại hội đồng cổ đông trực tuyến;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Việc ủy quyền cho người đại diện dự họp Đại hội đồng cổ đông trực tuyến;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Điều kiện tiến hành;</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Hình thức thông qua Nghị quyết của Đại hội đồng cổ đông trực tuyến;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Cách thức bỏ phiếu trực tuyến;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Cách thức kiểm phiếu trực tuyến;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 Thông báo kết quả kiểm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i) Lập biên bản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k) Công bố Nghị quyết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lastRenderedPageBreak/>
        <w:t>5. Trình tự, thủ tục họp Đại hội đồng cổ đông thông qua nghị quyết bằng hình thức hội nghị trực tiếp kết hợp với trực tuyến (bao gồm trình tự, thủ tục tổ chức cuộc họp và biểu quyết), trong đó lưu ý quy định rõ các nội dung sau: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Thông báo triệu tập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Cách thức đăng ký tham dự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Việc ủy quyền cho người đại diện dự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Điều kiện tiến hành;</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Hình thức thông qua nghị quyết của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Cách thức bỏ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Cách thức kiểm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 Thông báo kết quả kiểm phiếu;</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i) Lập biên bản họp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k) Công bố Nghị quyết Đại hội đồng cổ đông.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6. [Các hình thức họp Đại hội đồng cổ đông khác].</w:t>
      </w:r>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3.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1. Vai trò, quyền và nghĩa vụ của Hội đồng quản trị, trách nhiệm của thành viên Hội đồng quản trị (bao gồm cả quyền được cung cấp thông tin của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2. Đề cử, ứng cử, bầu, miễn nhiệm và bãi nhiệm thành viên Hội đồng quản trị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Nhiệm kỳ và số lượng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Cơ cấu, tiêu chuẩn và điều kiện của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Đề cử, ứng cử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Cách thức bầu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Các trường hợp miễn nhiệm, bãi nhiệm và bổ sung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lastRenderedPageBreak/>
        <w:t>e) Thông báo về bầu, miễn nhiệm, bãi nhiệm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Cách thức giới thiệu ứng viên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 Bầu, bãi nhiệm, miễn nhiệm Chủ tịch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3. Thù lao và lợi ích khác của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4. Trình tự và thủ tục tổ chức họp Hội đồng quản trị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Số lượng cuộc họp tối thiểu theo tháng/quý/năm;</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Các trường hợp phải triệu tập họp Hội đồng quản trị bất thường;</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Thông báo họp Hội đồng quản trị (gồm thời gian, địa điểm, chương trình họp, các vấn đề thảo luận và quyết định);</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Quyền dự họp Hội đồng quản trị của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Điều kiện tổ chức họp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Cách thức biểu quyết;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Cách thức thông qua nghị quyết của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 Việc ủy quyền cho người khác dự họp của thành viên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i) Lập biên bản họp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k) Trường hợp chủ tọa và/hoặc thư ký từ chối ký Biên bản họp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l) Thông báo nghị quyết, quyết định của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5. Ủy ban kiểm toán trực thuộc Hội đồng quản trị (theo mô hình công ty cổ phần quy định tại điểm b khoản 1 Điều 137 Luật Doanh nghiệp)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Quyền và nghĩa vụ của Ủy ban kiểm toán;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Ứng cử, đề cử thành viên Ủy ban kiểm toán;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 Nhiệm kỳ, số lượng, tiêu chuẩn, cơ cấu của Ủy ban kiểm toán;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 Ứng cử, đề cử, thành viên Ủy ban kiểm toán;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lastRenderedPageBreak/>
        <w:t>c) Hoạt động của Ủy ban kiểm toán.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6. Các tiểu ban thuộc Hội đồng quản trị (nếu có)</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Việc thành lập và hoạt động của các tiểu ban thuộc Hội đồng quản trị (nếu có),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Vai trò, trách nhiệm, thẩm quyền của các tiểu ban thuộc Hội đồng quản trị và từng thành viên trong tiểu ban;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Đề cử, ứng cử, bầu, miễn nhiệm và bãi nhiệm thành viên của các tiểu ban thuộc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 Nhiệm kỳ, số lượng, tiêu chuẩn, cơ cấu của các tiểu ban thuộc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 Cách thức bầu cử, ứng cử, miễn nhiệm, bãi nhiệm thành viên của các tiểu ban thuộc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Hoạt động của các tiểu ban thuộc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7. Lựa chọn, bổ nhiệm, miễn nhiệm Người phụ trách quản trị công ty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Tiêu chuẩn của Người phụ trách quản trị công ty;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Việc bổ nhiệm Người phụ trách quản trị công ty;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Các trường hợp miễn nhiệm Người phụ trách quản trị công ty;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Thông báo bổ nhiệm, miễn nhiệm Người phụ trách quản trị công ty;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Quyền và nghĩa vụ của Người phụ trách quản trị công ty.</w:t>
      </w:r>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4.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1. Vai trò, quyền và nghĩa vụ của Ban kiểm soát, trách nhiệm của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2. Nhiệm kỳ, số lượng, thành phần, cơ cấu thành viên Ban kiểm soát (trường hợp công ty đại chúng hoạt động theo mô hình quy định tại điểm a khoản 1 Điều 137 Luật doanh nghiệp) bao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lastRenderedPageBreak/>
        <w:t>a) Nhiệm kỳ, số lượng, thành phần, cơ cấu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Tiêu chuẩn và điều kiện của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Đề cử, ứng cử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Cách thức bầu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Các trường hợp miễn nhiệm, bãi nhiệm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Thông báo về bầu, miễn nhiệm, bãi nhiệm thành viên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Tiền lương và quyền lợi khác của thành viên Ban kiểm soát.</w:t>
      </w:r>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5.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1. Vai trò, trách nhiệm, quyền và nghĩa vụ của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2. Bổ nhiệm, miễn nhiệm, ký hợp đồng, chấm dứt hợp đồng đối với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Nhiệm kỳ, tiêu chuẩn và điều kiện của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Ứng cử, đề cử, miễn nhiệm, bãi nhiệm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c) Bổ nhiệm, ký hợp đồng lao động với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Miễn nhiệm, chấm dứt hợp đồng lao động với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Thông báo bổ nhiệm, miễn nhiệm, ký hợp đồng, chấm dứt hợp đồng đối với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Tiền lương và lợi ích khác của Giám đốc (Tổng Giám đốc).</w:t>
      </w:r>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6. Các hoạt động khác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1. Phối hợp hoạt động giữa Hội đồng quản trị, Ban kiểm soát và Giám đốc (Tổng Giám đốc), gồm các nội dung chính sau đây:</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a) Thủ tục, trình tự triệu tập, thông báo mời họp, ghi biên bản, thông báo kết quả họp giữa Hội đồng quản trị, Ban kiểm soát và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b) Thông báo nghị quyết, quyết định của Hội đồng quản trị cho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lastRenderedPageBreak/>
        <w:t>c) Thông báo nghị quyết, quyết định của Hội đồng quản trị cho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d) Các trường hợp Giám đốc (Tổng Giám đốc) và Ban kiểm soát đề nghị triệu tập họp Hội đồng quản trị và những vấn đề cần xin ý kiến Hội đồng quản trị;</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đ) Báo cáo của Giám đốc (Tổng Giám đốc) với Hội đồng quản trị về việc thực hiện nhiệm vụ và quyền hạn được giao;</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e) Kiểm điểm việc thực hiện nghị quyết và các vấn đề ủy quyền khác của Hội đồng quản trị đối với Giám đốc (Tổng Giám đốc);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g) Các vấn đề Giám đốc (Tổng Giám đốc) phải báo cáo, cung cấp thông tin và cách thức thông báo cho Hội đồng quản trị, Ban kiểm soát;</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h) Phối hợp hoạt động kiểm soát, điều hành, giám sát giữa các thành viên Hội đồng quản trị, các thành viên Ban Kiểm soát và Giám đốc (Tổng Giám đốc) theo các nhiệm vụ cụ thể của các thành viên nêu trên.</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2. Quy định về đánh giá hàng năm đối với hoạt động khen thưởng và kỷ luật đối với thành viên Hội đồng quản trị, thành viên Ban kiểm soát, Giám đốc (Tổng Giám đốc) và các người điều hành doanh nghiệp khác;</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3. Các vấn đề khác (nếu có).</w:t>
      </w:r>
      <w:bookmarkStart w:id="0" w:name="_GoBack"/>
      <w:bookmarkEnd w:id="0"/>
    </w:p>
    <w:p w:rsidR="004B67A5" w:rsidRPr="004B67A5" w:rsidRDefault="004B67A5" w:rsidP="004B67A5">
      <w:pPr>
        <w:spacing w:line="360" w:lineRule="auto"/>
        <w:jc w:val="both"/>
        <w:rPr>
          <w:rFonts w:ascii="Arial" w:hAnsi="Arial" w:cs="Arial"/>
          <w:b/>
          <w:sz w:val="24"/>
          <w:szCs w:val="24"/>
        </w:rPr>
      </w:pPr>
      <w:r w:rsidRPr="004B67A5">
        <w:rPr>
          <w:rFonts w:ascii="Arial" w:hAnsi="Arial" w:cs="Arial"/>
          <w:b/>
          <w:sz w:val="24"/>
          <w:szCs w:val="24"/>
        </w:rPr>
        <w:t>Điều 7. Hiệu lực thi hành</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Quy chế nội bộ về quản trị công ty Công ty cổ phần ... bao gồm [... điều] và có hiệu lực thi hành kể từ ngày...tháng...năm...</w:t>
      </w:r>
    </w:p>
    <w:p w:rsidR="004B67A5" w:rsidRPr="004B67A5" w:rsidRDefault="004B67A5" w:rsidP="004B67A5">
      <w:pPr>
        <w:spacing w:line="360" w:lineRule="auto"/>
        <w:jc w:val="both"/>
        <w:rPr>
          <w:rFonts w:ascii="Arial" w:hAnsi="Arial" w:cs="Arial"/>
          <w:sz w:val="24"/>
          <w:szCs w:val="24"/>
        </w:rPr>
      </w:pPr>
      <w:r w:rsidRPr="004B67A5">
        <w:rPr>
          <w:rFonts w:ascii="Arial" w:hAnsi="Arial" w:cs="Arial"/>
          <w:sz w:val="24"/>
          <w:szCs w:val="24"/>
        </w:rPr>
        <w:t xml:space="preserve"> </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TM. HỘI ĐỒNG QUẢN TRỊ</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CHỦ TỊCH</w:t>
      </w:r>
    </w:p>
    <w:p w:rsidR="004B67A5" w:rsidRPr="004B67A5" w:rsidRDefault="004B67A5" w:rsidP="004B67A5">
      <w:pPr>
        <w:spacing w:line="360" w:lineRule="auto"/>
        <w:jc w:val="center"/>
        <w:rPr>
          <w:rFonts w:ascii="Arial" w:hAnsi="Arial" w:cs="Arial"/>
          <w:b/>
          <w:sz w:val="24"/>
          <w:szCs w:val="24"/>
        </w:rPr>
      </w:pPr>
      <w:r w:rsidRPr="004B67A5">
        <w:rPr>
          <w:rFonts w:ascii="Arial" w:hAnsi="Arial" w:cs="Arial"/>
          <w:b/>
          <w:sz w:val="24"/>
          <w:szCs w:val="24"/>
        </w:rPr>
        <w:t>(Ký, ghi rõ họ tên và đóng dấu)</w:t>
      </w:r>
    </w:p>
    <w:p w:rsidR="004B67A5" w:rsidRPr="004B67A5" w:rsidRDefault="004B67A5" w:rsidP="004B67A5">
      <w:pPr>
        <w:spacing w:line="360" w:lineRule="auto"/>
        <w:jc w:val="both"/>
        <w:rPr>
          <w:rFonts w:ascii="Arial" w:hAnsi="Arial" w:cs="Arial"/>
          <w:sz w:val="24"/>
          <w:szCs w:val="24"/>
        </w:rPr>
      </w:pPr>
    </w:p>
    <w:sectPr w:rsidR="004B67A5" w:rsidRPr="004B67A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21" w:rsidRDefault="00843221" w:rsidP="004B67A5">
      <w:pPr>
        <w:spacing w:after="0" w:line="240" w:lineRule="auto"/>
      </w:pPr>
      <w:r>
        <w:separator/>
      </w:r>
    </w:p>
  </w:endnote>
  <w:endnote w:type="continuationSeparator" w:id="0">
    <w:p w:rsidR="00843221" w:rsidRDefault="00843221" w:rsidP="004B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4B67A5">
      <w:trPr>
        <w:jc w:val="right"/>
      </w:trPr>
      <w:tc>
        <w:tcPr>
          <w:tcW w:w="4795" w:type="dxa"/>
          <w:vAlign w:val="center"/>
        </w:tcPr>
        <w:sdt>
          <w:sdtPr>
            <w:rPr>
              <w:rFonts w:ascii="Arial" w:hAnsi="Arial" w:cs="Arial"/>
              <w:b/>
              <w:caps/>
              <w:color w:val="000000" w:themeColor="text1"/>
              <w:sz w:val="24"/>
              <w:szCs w:val="24"/>
            </w:rPr>
            <w:alias w:val="Author"/>
            <w:tag w:val=""/>
            <w:id w:val="1534539408"/>
            <w:placeholder>
              <w:docPart w:val="851890447D454E479117E27B6476E058"/>
            </w:placeholder>
            <w:dataBinding w:prefixMappings="xmlns:ns0='http://purl.org/dc/elements/1.1/' xmlns:ns1='http://schemas.openxmlformats.org/package/2006/metadata/core-properties' " w:xpath="/ns1:coreProperties[1]/ns0:creator[1]" w:storeItemID="{6C3C8BC8-F283-45AE-878A-BAB7291924A1}"/>
            <w:text/>
          </w:sdtPr>
          <w:sdtContent>
            <w:p w:rsidR="004B67A5" w:rsidRDefault="004B67A5" w:rsidP="004B67A5">
              <w:pPr>
                <w:pStyle w:val="Header"/>
                <w:jc w:val="right"/>
                <w:rPr>
                  <w:caps/>
                  <w:color w:val="000000" w:themeColor="text1"/>
                </w:rPr>
              </w:pPr>
              <w:r w:rsidRPr="004B67A5">
                <w:rPr>
                  <w:rFonts w:ascii="Arial" w:hAnsi="Arial" w:cs="Arial"/>
                  <w:b/>
                  <w:caps/>
                  <w:color w:val="000000" w:themeColor="text1"/>
                  <w:sz w:val="24"/>
                  <w:szCs w:val="24"/>
                </w:rPr>
                <w:t>Mẫu quy chế nội bộ về quản trị công ty đại chúng</w:t>
              </w:r>
            </w:p>
          </w:sdtContent>
        </w:sdt>
      </w:tc>
      <w:tc>
        <w:tcPr>
          <w:tcW w:w="250" w:type="pct"/>
          <w:shd w:val="clear" w:color="auto" w:fill="ED7D31" w:themeFill="accent2"/>
          <w:vAlign w:val="center"/>
        </w:tcPr>
        <w:p w:rsidR="004B67A5" w:rsidRDefault="004B67A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8</w:t>
          </w:r>
          <w:r>
            <w:rPr>
              <w:noProof/>
              <w:color w:val="FFFFFF" w:themeColor="background1"/>
            </w:rPr>
            <w:fldChar w:fldCharType="end"/>
          </w:r>
        </w:p>
      </w:tc>
    </w:tr>
  </w:tbl>
  <w:p w:rsidR="004B67A5" w:rsidRDefault="004B6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21" w:rsidRDefault="00843221" w:rsidP="004B67A5">
      <w:pPr>
        <w:spacing w:after="0" w:line="240" w:lineRule="auto"/>
      </w:pPr>
      <w:r>
        <w:separator/>
      </w:r>
    </w:p>
  </w:footnote>
  <w:footnote w:type="continuationSeparator" w:id="0">
    <w:p w:rsidR="00843221" w:rsidRDefault="00843221" w:rsidP="004B6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10"/>
      <w:gridCol w:w="9050"/>
    </w:tblGrid>
    <w:tr w:rsidR="004B67A5">
      <w:trPr>
        <w:jc w:val="right"/>
      </w:trPr>
      <w:tc>
        <w:tcPr>
          <w:tcW w:w="0" w:type="auto"/>
          <w:shd w:val="clear" w:color="auto" w:fill="ED7D31" w:themeFill="accent2"/>
          <w:vAlign w:val="center"/>
        </w:tcPr>
        <w:p w:rsidR="004B67A5" w:rsidRDefault="004B67A5">
          <w:pPr>
            <w:pStyle w:val="Header"/>
            <w:rPr>
              <w:caps/>
              <w:color w:val="FFFFFF" w:themeColor="background1"/>
            </w:rPr>
          </w:pPr>
        </w:p>
      </w:tc>
      <w:tc>
        <w:tcPr>
          <w:tcW w:w="0" w:type="auto"/>
          <w:shd w:val="clear" w:color="auto" w:fill="ED7D31" w:themeFill="accent2"/>
          <w:vAlign w:val="center"/>
        </w:tcPr>
        <w:p w:rsidR="004B67A5" w:rsidRPr="004B67A5" w:rsidRDefault="004B67A5" w:rsidP="004B67A5">
          <w:pPr>
            <w:pStyle w:val="Header"/>
            <w:jc w:val="right"/>
            <w:rPr>
              <w:rFonts w:ascii="Arial" w:hAnsi="Arial" w:cs="Arial"/>
              <w:b/>
              <w:caps/>
              <w:color w:val="FFFFFF" w:themeColor="background1"/>
              <w:sz w:val="24"/>
              <w:szCs w:val="24"/>
            </w:rPr>
          </w:pPr>
          <w:r w:rsidRPr="004B67A5">
            <w:rPr>
              <w:rFonts w:ascii="Arial" w:hAnsi="Arial" w:cs="Arial"/>
              <w:b/>
              <w:caps/>
              <w:color w:val="002060"/>
              <w:sz w:val="24"/>
              <w:szCs w:val="24"/>
            </w:rPr>
            <w:t xml:space="preserve"> </w:t>
          </w:r>
          <w:sdt>
            <w:sdtPr>
              <w:rPr>
                <w:rFonts w:ascii="Arial" w:hAnsi="Arial" w:cs="Arial"/>
                <w:b/>
                <w:caps/>
                <w:color w:val="002060"/>
                <w:sz w:val="24"/>
                <w:szCs w:val="24"/>
              </w:rPr>
              <w:alias w:val="Title"/>
              <w:tag w:val=""/>
              <w:id w:val="-773790484"/>
              <w:placeholder>
                <w:docPart w:val="FECB0FB84A5F4C359320712245B797B6"/>
              </w:placeholder>
              <w:dataBinding w:prefixMappings="xmlns:ns0='http://purl.org/dc/elements/1.1/' xmlns:ns1='http://schemas.openxmlformats.org/package/2006/metadata/core-properties' " w:xpath="/ns1:coreProperties[1]/ns0:title[1]" w:storeItemID="{6C3C8BC8-F283-45AE-878A-BAB7291924A1}"/>
              <w:text/>
            </w:sdtPr>
            <w:sdtContent>
              <w:r w:rsidRPr="004B67A5">
                <w:rPr>
                  <w:rFonts w:ascii="Arial" w:hAnsi="Arial" w:cs="Arial"/>
                  <w:b/>
                  <w:caps/>
                  <w:color w:val="002060"/>
                  <w:sz w:val="24"/>
                  <w:szCs w:val="24"/>
                </w:rPr>
                <w:t>công ty luật tnhh minh khuê – tổng đài 1900.6162</w:t>
              </w:r>
            </w:sdtContent>
          </w:sdt>
        </w:p>
      </w:tc>
    </w:tr>
  </w:tbl>
  <w:p w:rsidR="004B67A5" w:rsidRDefault="004B6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A5"/>
    <w:rsid w:val="00321AC2"/>
    <w:rsid w:val="004B67A5"/>
    <w:rsid w:val="00843221"/>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BC7A-59C8-4A31-A177-4E54AD32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7A5"/>
  </w:style>
  <w:style w:type="paragraph" w:styleId="Footer">
    <w:name w:val="footer"/>
    <w:basedOn w:val="Normal"/>
    <w:link w:val="FooterChar"/>
    <w:uiPriority w:val="99"/>
    <w:unhideWhenUsed/>
    <w:rsid w:val="004B6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CB0FB84A5F4C359320712245B797B6"/>
        <w:category>
          <w:name w:val="General"/>
          <w:gallery w:val="placeholder"/>
        </w:category>
        <w:types>
          <w:type w:val="bbPlcHdr"/>
        </w:types>
        <w:behaviors>
          <w:behavior w:val="content"/>
        </w:behaviors>
        <w:guid w:val="{0DEA49AC-E509-4F54-982E-8D55BCAA7829}"/>
      </w:docPartPr>
      <w:docPartBody>
        <w:p w:rsidR="00000000" w:rsidRDefault="00EB086B" w:rsidP="00EB086B">
          <w:pPr>
            <w:pStyle w:val="FECB0FB84A5F4C359320712245B797B6"/>
          </w:pPr>
          <w:r>
            <w:rPr>
              <w:caps/>
              <w:color w:val="FFFFFF" w:themeColor="background1"/>
            </w:rPr>
            <w:t>[Document title]</w:t>
          </w:r>
        </w:p>
      </w:docPartBody>
    </w:docPart>
    <w:docPart>
      <w:docPartPr>
        <w:name w:val="851890447D454E479117E27B6476E058"/>
        <w:category>
          <w:name w:val="General"/>
          <w:gallery w:val="placeholder"/>
        </w:category>
        <w:types>
          <w:type w:val="bbPlcHdr"/>
        </w:types>
        <w:behaviors>
          <w:behavior w:val="content"/>
        </w:behaviors>
        <w:guid w:val="{F8DB1D5D-71EB-448B-9318-0005746E857E}"/>
      </w:docPartPr>
      <w:docPartBody>
        <w:p w:rsidR="00000000" w:rsidRDefault="00EB086B" w:rsidP="00EB086B">
          <w:pPr>
            <w:pStyle w:val="851890447D454E479117E27B6476E05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6B"/>
    <w:rsid w:val="00B02E79"/>
    <w:rsid w:val="00EB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B0FB84A5F4C359320712245B797B6">
    <w:name w:val="FECB0FB84A5F4C359320712245B797B6"/>
    <w:rsid w:val="00EB086B"/>
  </w:style>
  <w:style w:type="paragraph" w:customStyle="1" w:styleId="851890447D454E479117E27B6476E058">
    <w:name w:val="851890447D454E479117E27B6476E058"/>
    <w:rsid w:val="00EB0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luật tnhh minh khuê – tổng đài 1900.6162</dc:title>
  <dc:subject/>
  <dc:creator>Mẫu quy chế nội bộ về quản trị công ty đại chúng</dc:creator>
  <cp:keywords/>
  <dc:description/>
  <cp:lastModifiedBy>ADMIN</cp:lastModifiedBy>
  <cp:revision>1</cp:revision>
  <dcterms:created xsi:type="dcterms:W3CDTF">2021-08-24T16:40:00Z</dcterms:created>
  <dcterms:modified xsi:type="dcterms:W3CDTF">2021-08-24T17:18:00Z</dcterms:modified>
</cp:coreProperties>
</file>