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6A23E"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Công ty luật Minh Khuê</w:t>
      </w:r>
      <w:r>
        <w:rPr>
          <w:rFonts w:ascii="Arial" w:hAnsi="Arial" w:cs="Arial"/>
          <w:color w:val="000000"/>
        </w:rPr>
        <w:t> cung cấp dịch vụ luật sư tư vấn pháp luật hình sự qua điện thoại. Mọi vướng mắc của khách hàng trong lĩnh vực hình sự vui lòng trao đổi trực tiếp với các luật sư, chuyên gia, chuyên viên tư vấn giàu kinh nghiệm của chúng tôi qua đường dây nóng - Hotline: </w:t>
      </w:r>
      <w:hyperlink r:id="rId6" w:history="1">
        <w:r>
          <w:rPr>
            <w:rStyle w:val="Strong"/>
            <w:rFonts w:ascii="Arial" w:hAnsi="Arial" w:cs="Arial"/>
            <w:color w:val="FF0000"/>
            <w:sz w:val="21"/>
            <w:szCs w:val="21"/>
            <w:u w:val="single"/>
          </w:rPr>
          <w:t>1900 6162</w:t>
        </w:r>
      </w:hyperlink>
      <w:r>
        <w:rPr>
          <w:rFonts w:ascii="Arial" w:hAnsi="Arial" w:cs="Arial"/>
          <w:color w:val="000000"/>
        </w:rPr>
        <w:t>.</w:t>
      </w:r>
    </w:p>
    <w:p w14:paraId="6E0B0674" w14:textId="77777777" w:rsidR="00244893" w:rsidRDefault="00244893" w:rsidP="00244893">
      <w:pPr>
        <w:pStyle w:val="NormalWeb"/>
        <w:spacing w:after="90" w:afterAutospacing="0" w:line="345" w:lineRule="atLeast"/>
        <w:jc w:val="center"/>
        <w:rPr>
          <w:rFonts w:ascii="Arial" w:hAnsi="Arial" w:cs="Arial"/>
        </w:rPr>
      </w:pPr>
      <w:r>
        <w:rPr>
          <w:rFonts w:ascii="Arial" w:hAnsi="Arial" w:cs="Arial"/>
          <w:color w:val="000000"/>
        </w:rPr>
        <w:t>----------------------------------------------------------</w:t>
      </w:r>
    </w:p>
    <w:p w14:paraId="3803797E" w14:textId="77777777" w:rsidR="00244893" w:rsidRDefault="00244893" w:rsidP="00244893">
      <w:pPr>
        <w:pStyle w:val="NormalWeb"/>
        <w:spacing w:after="90" w:afterAutospacing="0" w:line="345" w:lineRule="atLeast"/>
        <w:jc w:val="center"/>
        <w:rPr>
          <w:rFonts w:ascii="Arial" w:hAnsi="Arial" w:cs="Arial"/>
        </w:rPr>
      </w:pPr>
      <w:r>
        <w:rPr>
          <w:rStyle w:val="Strong"/>
          <w:rFonts w:ascii="Arial" w:hAnsi="Arial" w:cs="Arial"/>
          <w:color w:val="000000"/>
          <w:sz w:val="21"/>
          <w:szCs w:val="21"/>
        </w:rPr>
        <w:t>LUẬT</w:t>
      </w:r>
    </w:p>
    <w:p w14:paraId="7858993B" w14:textId="77777777" w:rsidR="00244893" w:rsidRDefault="00244893" w:rsidP="00244893">
      <w:pPr>
        <w:pStyle w:val="NormalWeb"/>
        <w:spacing w:after="90" w:afterAutospacing="0" w:line="345" w:lineRule="atLeast"/>
        <w:jc w:val="center"/>
        <w:rPr>
          <w:rFonts w:ascii="Arial" w:hAnsi="Arial" w:cs="Arial"/>
        </w:rPr>
      </w:pPr>
      <w:r>
        <w:rPr>
          <w:rStyle w:val="Strong"/>
          <w:rFonts w:ascii="Arial" w:hAnsi="Arial" w:cs="Arial"/>
          <w:color w:val="000000"/>
          <w:sz w:val="21"/>
          <w:szCs w:val="21"/>
        </w:rPr>
        <w:t>Sửa đổi, bổ sung một số điều của Bộ luật Hình sự số </w:t>
      </w:r>
      <w:hyperlink r:id="rId7" w:tgtFrame="_blank" w:history="1">
        <w:r>
          <w:rPr>
            <w:rStyle w:val="Hyperlink"/>
            <w:rFonts w:ascii="Arial" w:hAnsi="Arial" w:cs="Arial"/>
            <w:b/>
            <w:bCs/>
            <w:color w:val="135ECD"/>
            <w:sz w:val="21"/>
            <w:szCs w:val="21"/>
          </w:rPr>
          <w:t>37/2009/QH12</w:t>
        </w:r>
      </w:hyperlink>
    </w:p>
    <w:p w14:paraId="79FB710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Căn cứ Hiến pháp nước Cộng hòa xã hội chủ nghĩa Việt Nam năm 1992 đã được sửa đổi, bổ sung một số điều theo Nghị quyết số </w:t>
      </w:r>
      <w:hyperlink r:id="rId8" w:tgtFrame="_blank" w:history="1">
        <w:r>
          <w:rPr>
            <w:rStyle w:val="Hyperlink"/>
            <w:rFonts w:ascii="Arial" w:hAnsi="Arial" w:cs="Arial"/>
            <w:color w:val="135ECD"/>
            <w:sz w:val="21"/>
            <w:szCs w:val="21"/>
          </w:rPr>
          <w:t>51/2001/QH10 </w:t>
        </w:r>
      </w:hyperlink>
      <w:r>
        <w:rPr>
          <w:rFonts w:ascii="Arial" w:hAnsi="Arial" w:cs="Arial"/>
          <w:color w:val="000000"/>
        </w:rPr>
        <w:t>;</w:t>
      </w:r>
    </w:p>
    <w:p w14:paraId="3E2D136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Quốc hội ban hành Luật sửa đổi, bổ sung một số điều của Bộ luật hình sự số </w:t>
      </w:r>
      <w:hyperlink r:id="rId9" w:tgtFrame="_blank" w:history="1">
        <w:r>
          <w:rPr>
            <w:rStyle w:val="Hyperlink"/>
            <w:rFonts w:ascii="Arial" w:hAnsi="Arial" w:cs="Arial"/>
            <w:color w:val="135ECD"/>
            <w:sz w:val="21"/>
            <w:szCs w:val="21"/>
          </w:rPr>
          <w:t>15/1999/QH10 </w:t>
        </w:r>
      </w:hyperlink>
      <w:r>
        <w:rPr>
          <w:rFonts w:ascii="Arial" w:hAnsi="Arial" w:cs="Arial"/>
          <w:color w:val="000000"/>
        </w:rPr>
        <w:t>.</w:t>
      </w:r>
    </w:p>
    <w:p w14:paraId="624E5738"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 </w:t>
      </w:r>
      <w:r>
        <w:rPr>
          <w:rFonts w:ascii="Arial" w:hAnsi="Arial" w:cs="Arial"/>
          <w:color w:val="000000"/>
        </w:rPr>
        <w:t>Sửa đổi, bổ sung, bãi bỏ một số điều của Bộ luật hình sự:</w:t>
      </w:r>
    </w:p>
    <w:p w14:paraId="7274E265"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 Bỏ hình phạt tử hình ở các điều 111, 139, 153, 180, 197, 221, 289 và 334.</w:t>
      </w:r>
    </w:p>
    <w:p w14:paraId="091E41D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Sửa đổi cụm từ “hai mươi năm, tù chung thân hoặc tử hình” thành cụm từ “hai mươi năm hoặc tù chung thân” tại khoản 3 Điều 111, khoản 4 Điều 139, khoản 4 Điều 153, khoản 3 Điều 180, khoản 4 Điều 197, khoản 3 Điều 221, khoản 4 Điều 289 và khoản 4 Điều 334.</w:t>
      </w:r>
    </w:p>
    <w:p w14:paraId="68D0A667"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 Sửa đổi mức định lượng tối thiểu để truy cứu trách nhiệm hình sự quy định tại khoản 1 của một số điều như sau:</w:t>
      </w:r>
    </w:p>
    <w:p w14:paraId="278C9A5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Sửa đổi cụm từ ”năm trăm nghìn đồng” thành cụm từ “hai triệu đồng” tại khoản 1 các điều 137, 138, 139, 143, 278, 279, 280, 283, 289, 290 và 291;</w:t>
      </w:r>
    </w:p>
    <w:p w14:paraId="58096B5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Sửa đổi cụm từ “một triệu đồng” thành cụm từ “bốn triệu đồng” tại khoản 1 và bỏ từ “trên” tại điểm d khoản 2 Điều 140;</w:t>
      </w:r>
    </w:p>
    <w:p w14:paraId="7C67FF3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Sửa đổi cụm từ “năm triệu đồng” thành cụm từ “mười triệu đồng” tại khoản 1 Điều 141.</w:t>
      </w:r>
    </w:p>
    <w:p w14:paraId="3CB69834"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3. Khoản 5 Điều 69 được sửa đổi, bổ sung như sau:</w:t>
      </w:r>
    </w:p>
    <w:p w14:paraId="43F9D7C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“5. Không xử phạt tù chung thân hoặc tử hình đối với người chưa thành niên phạm tội.</w:t>
      </w:r>
    </w:p>
    <w:p w14:paraId="62D80C2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Khi áp dụng hình phạt đối với người chưa thành niên phạm tội cần hạn chế áp dụng hình phạt tù. Khi xử phạt tù có thời hạn, Tòa án cho người chưa thành niên phạm tội được hưởng mức án nhẹ hơn mức án áp dụng đối với người đã thành niên phạm tội tương ứng.</w:t>
      </w:r>
    </w:p>
    <w:p w14:paraId="15569DE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Không áp dụng hình phạt tiền đối với người chưa thành niên phạm tội ở độ tuổi từ đủ 14 tuổi đến dưới 16 tuổi.</w:t>
      </w:r>
    </w:p>
    <w:p w14:paraId="36F4F5D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Không áp dụng hình phạt bổ sung đối với người chưa thành niên phạm tội.”</w:t>
      </w:r>
    </w:p>
    <w:p w14:paraId="6E893A02"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4. Tên Điều 84 được sửa đổi như sau:</w:t>
      </w:r>
    </w:p>
    <w:p w14:paraId="2183624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84. Tội khủng bố” được sửa đổi thành “Điều 84. Tội khủng bố nhằm chống chính quyền nhân dân”.</w:t>
      </w:r>
    </w:p>
    <w:p w14:paraId="485EFC50"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5. Điều 119 được sửa đổi, bổ sung như sau:</w:t>
      </w:r>
    </w:p>
    <w:p w14:paraId="7F0268D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119. Tội mua bán người</w:t>
      </w:r>
    </w:p>
    <w:p w14:paraId="1A7C1F6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mua bán người thì bị phạt tù từ hai năm đến bảy năm.</w:t>
      </w:r>
    </w:p>
    <w:p w14:paraId="26CC6CA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năm năm đến hai mươi năm:</w:t>
      </w:r>
    </w:p>
    <w:p w14:paraId="0B72420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Vì mục đích mại dâm;</w:t>
      </w:r>
    </w:p>
    <w:p w14:paraId="395ADE5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Có tổ chức;</w:t>
      </w:r>
    </w:p>
    <w:p w14:paraId="6E101EA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Có tính chất chuyên nghiệp;</w:t>
      </w:r>
    </w:p>
    <w:p w14:paraId="7B75845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Để lấy bộ phận cơ thể của nạn nhân;</w:t>
      </w:r>
    </w:p>
    <w:p w14:paraId="6664334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 Để đưa ra nước ngoài;</w:t>
      </w:r>
    </w:p>
    <w:p w14:paraId="2D0F69D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e) Đối với nhiều người;</w:t>
      </w:r>
    </w:p>
    <w:p w14:paraId="435BD7B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g) Phạm tội nhiều lần;</w:t>
      </w:r>
    </w:p>
    <w:p w14:paraId="356F37F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3. Người phạm tội còn có thể bị phạt tiền từ năm triệu đồng đến năm mươi triệu đồng, phạt quản chế hoặc cấm cư trú từ một năm đến năm năm.”</w:t>
      </w:r>
    </w:p>
    <w:p w14:paraId="06C29FDA"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6. Khoản 2 Điều 120 được sửa đổi, bổ sung như sau:</w:t>
      </w:r>
    </w:p>
    <w:p w14:paraId="737B2C9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mười năm đến hai mươi năm hoặc tù chung thân:</w:t>
      </w:r>
    </w:p>
    <w:p w14:paraId="576B424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48DA5CF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Có tính chất chuyên nghiệp;</w:t>
      </w:r>
    </w:p>
    <w:p w14:paraId="7C2D018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Vì động cơ đê hèn;</w:t>
      </w:r>
    </w:p>
    <w:p w14:paraId="65A1D3F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Đối với nhiều trẻ em;</w:t>
      </w:r>
    </w:p>
    <w:p w14:paraId="0C4E99A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 Để lấy bộ phận cơ thể của nạn nhân;</w:t>
      </w:r>
    </w:p>
    <w:p w14:paraId="3E69887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e) Để đưa ra nước ngoài;</w:t>
      </w:r>
    </w:p>
    <w:p w14:paraId="71A50D2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g) Để sử dụng vào mục đích vô nhân đạo;</w:t>
      </w:r>
    </w:p>
    <w:p w14:paraId="63F7704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h) Để sử dụng vào mục đích mại dâm;</w:t>
      </w:r>
    </w:p>
    <w:p w14:paraId="269B5A9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i) Tái phạm nguy hiểm;</w:t>
      </w:r>
    </w:p>
    <w:p w14:paraId="30EF23E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k) Gây hậu quả nghiêm trọng.”</w:t>
      </w:r>
    </w:p>
    <w:p w14:paraId="61422977"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7. Khoản 1 Điều 160 được sửa đổi, bổ sung như sau:</w:t>
      </w:r>
    </w:p>
    <w:p w14:paraId="423DA96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lợi dụng tình hình khan hiếm hoặc tạo ra sự khan hiếm giả tạo trong tình hình thiên tai, dịch bệnh, chiến tranh hoặc tình hình khó khăn về kinh tế mua vét hàng hóa có số lượng lớn nhằm bán lại thu lợi bất chính gây hậu quả nghiêm trọng, thì bị phạt tiền từ hai mươi triệu đồng đến hai trăm triệu đồng hoặc phạt tù từ sáu tháng đến năm năm.”</w:t>
      </w:r>
    </w:p>
    <w:p w14:paraId="5299835A"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8. Điều 161 được sửa đổi, bổ sung như sau:</w:t>
      </w:r>
    </w:p>
    <w:p w14:paraId="6650FBD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161. Tội trốn thuế</w:t>
      </w:r>
    </w:p>
    <w:p w14:paraId="4BDA79B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1. Người nào trốn thuế với số tiền từ một trăm triệu đồng đến dưới ba trăm triệu đồng hoặc dưới một trăm triệu đồng nhưng đã bị xử phạt hành chính về hành vi trốn thuế hoặc đã bị kết án về tội này hoặc về một trong các tội quy định tại các điều 153, 154, 155, 156, 157, 158, 159, 160, 164, 193, 194, 195, 196, 230, 232, 233, 236 và 238 của Bộ luật này, chưa được xóa án tích mà còn vi phạm, thì bị phạt tiền từ một lần đến năm lần số tiền trốn thuế hoặc phạt cải tạo không giam giữ đến hai năm.</w:t>
      </w:r>
    </w:p>
    <w:p w14:paraId="177D338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trốn thuế với số tiền từ ba trăm triệu đồng đến dưới sáu trăm triệu đồng hoặc tái phạm về tội này, thì bị phạt tiền từ một lần đến năm lần số tiền trốn thuế hoặc phạt tù từ sáu tháng đến ba năm.</w:t>
      </w:r>
    </w:p>
    <w:p w14:paraId="392FBE0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trốn thuế với số tiền từ sáu trăm triệu đồng trở lên hoặc trong trường hợp đặc biệt nghiêm trọng khác, thì bị phạt tù từ hai năm đến bảy năm.</w:t>
      </w:r>
    </w:p>
    <w:p w14:paraId="77990A0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tiền từ một lần đến ba lần số tiền trốn thuế.”</w:t>
      </w:r>
    </w:p>
    <w:p w14:paraId="452263F8"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9. Bổ sung Điều 164a như sau:</w:t>
      </w:r>
    </w:p>
    <w:p w14:paraId="5361E83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164a. Tội in, phát hành, mua bán trái phép hóa đơn, chứng từ thu nộp ngân sách nhà nước</w:t>
      </w:r>
    </w:p>
    <w:p w14:paraId="6E15D4D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in, phát hành, mua bán trái phép hóa đơn, chứng từ thu nộp ngân sách nhà nước với số lượng lớn hoặc đã bị xử phạt hành chính về hành vi này hoặc đã bị kết án về tội này, chưa được xóa án tích mà còn vi phạm, thì bị phạt tiền từ năm mươi triệu đồng đến hai trăm triệu đồng, cải tạo không giam giữ đến ba năm hoặc phạt tù từ sáu tháng đến ba năm.</w:t>
      </w:r>
    </w:p>
    <w:p w14:paraId="56929CD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một năm đến năm năm:</w:t>
      </w:r>
    </w:p>
    <w:p w14:paraId="519887A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6398E27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Có tính chất chuyên nghiệp;</w:t>
      </w:r>
    </w:p>
    <w:p w14:paraId="7B33DB8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Lợi dụng chức vụ, quyền hạn;</w:t>
      </w:r>
    </w:p>
    <w:p w14:paraId="0F7A632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Hóa đơn, chứng từ có số lượng rất lớn hoặc đặc biệt lớn;</w:t>
      </w:r>
    </w:p>
    <w:p w14:paraId="653B7C9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 Thu lợi bất chính lớn;</w:t>
      </w:r>
    </w:p>
    <w:p w14:paraId="3628162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e) Tái phạm nguy hiểm;</w:t>
      </w:r>
    </w:p>
    <w:p w14:paraId="3AE7D4A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g) Gây hậu quả nghiêm trọng.</w:t>
      </w:r>
    </w:p>
    <w:p w14:paraId="6AD6D54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mười triệu đồng đến một trăm năm mươi triệu đồng, cấm đảm nhiệm chức vụ, cấm hành nghề hoặc làm công việc nhất định từ một năm đến năm năm.”</w:t>
      </w:r>
    </w:p>
    <w:p w14:paraId="4EBFE160"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10. Bổ sung Điều 164b như sau:</w:t>
      </w:r>
    </w:p>
    <w:p w14:paraId="3235F3B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164b. Tội vi phạm quy định về bảo quản, quản lý hóa đơn, chứng từ thu nộp ngân sách nhà nước</w:t>
      </w:r>
    </w:p>
    <w:p w14:paraId="5AD3BD7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có trách nhiệm bảo quản, quản lý hóa đơn, chứng từ thu nộp ngân sách nhà nước mà vi phạm quy định của Nhà nước về bảo quản, quản lý hóa đơn, chứng từ thu nộp ngân sách nhà nước gây hậu quả nghiêm trọng hoặc đã bị xử phạt hành chính, xử lý kỷ luật về hành vi này hoặc đã bị kết án về tội này, chưa được xóa án tích mà còn vi phạm, thì bị phạt tiền từ mười triệu đồng đến một trăm triệu đồng, cải tạo không giam giữ đến hai năm hoặc phạt tù từ ba tháng đến hai năm.</w:t>
      </w:r>
    </w:p>
    <w:p w14:paraId="0819A14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một năm đến năm năm:</w:t>
      </w:r>
    </w:p>
    <w:p w14:paraId="5A4E03F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7DFA809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Phạm tội nhiều lần;</w:t>
      </w:r>
    </w:p>
    <w:p w14:paraId="0E239EE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nghiêm trọng hoặc đặc biệt nghiêm trọng.</w:t>
      </w:r>
    </w:p>
    <w:p w14:paraId="07940EE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cấm đảm nhiệm chức vụ hoặc làm công việc nhất định từ một năm đến năm năm.”</w:t>
      </w:r>
    </w:p>
    <w:p w14:paraId="560CD84F"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11. Bổ sung Điều 170a như sau:</w:t>
      </w:r>
    </w:p>
    <w:p w14:paraId="45D33C7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170a. Tội xâm phạm quyền tác giả, quyền liên quan</w:t>
      </w:r>
    </w:p>
    <w:p w14:paraId="53C3A56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không được phép của chủ thể quyền tác giả, quyền liên quan mà thực hiện một trong các hành vi sau đây xâm phạm quyền tác giả, quyền liên quan đang được bảo hộ tại Việt Nam với quy mô thương mại, thì bị phạt tiền từ năm mươi triệu đồng đến năm trăm triệu đồng hoặc cải tạo không giam giữ đến hai năm:</w:t>
      </w:r>
    </w:p>
    <w:p w14:paraId="13AD4A2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a) Sao chép tác phẩm, bản ghi âm, bản ghi hình;</w:t>
      </w:r>
    </w:p>
    <w:p w14:paraId="7A022C3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Phân phối đến công chúng bản sao tác phẩm, bản sao bản ghi âm, bản sao bản ghi hình.</w:t>
      </w:r>
    </w:p>
    <w:p w14:paraId="4067B58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tiền từ bốn trăm triệu đồng đến một tỷ đồng hoặc phạt tù từ sáu tháng đến ba năm:</w:t>
      </w:r>
    </w:p>
    <w:p w14:paraId="65AB59F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79A6A6A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Phạm tội nhiều lần.</w:t>
      </w:r>
    </w:p>
    <w:p w14:paraId="09552E2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hai mươi triệu đồng đến hai trăm triệu đồng, cấm đảm nhiệm chức vụ, cấm hành nghề hoặc làm công việc nhất định từ một năm đến năm năm.”</w:t>
      </w:r>
    </w:p>
    <w:p w14:paraId="23D8C9B7"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12. Điều 171 được sửa đổi, bổ sung như sau:</w:t>
      </w:r>
    </w:p>
    <w:p w14:paraId="4EBF3DC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171. Tội xâm phạm quyền sở hữu công nghiệp</w:t>
      </w:r>
    </w:p>
    <w:p w14:paraId="19B111D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cố ý xâm phạm quyền sở hữu công nghiệp đối với nhãn hiệu hoặc chỉ dẫn địa lý đang được bảo hộ tại Việt Nam với quy mô thương mại, thì bị phạt tiền từ năm mươi triệu đồng đến năm trăm triệu đồng hoặc cải tạo không giam giữ đến hai năm.</w:t>
      </w:r>
    </w:p>
    <w:p w14:paraId="39075C0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tiền từ bốn trăm triệu đồng đến một tỷ đồng hoặc phạt tù từ sáu tháng đến ba năm:</w:t>
      </w:r>
    </w:p>
    <w:p w14:paraId="6A630F8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755684D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Phạm tội nhiều lần.</w:t>
      </w:r>
    </w:p>
    <w:p w14:paraId="133399D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hai mươi triệu đồng đến hai trăm triệu đồng, cấm đảm nhiệm chức vụ, cấm hành nghề hoặc làm công việc nhất định từ một năm đến năm năm.”</w:t>
      </w:r>
    </w:p>
    <w:p w14:paraId="3DA2275F"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13. Điều 174 được sửa đổi, bổ sung như sau:</w:t>
      </w:r>
    </w:p>
    <w:p w14:paraId="10CD45E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174. Tội vi phạm các quy định về quản lý đất đai</w:t>
      </w:r>
    </w:p>
    <w:p w14:paraId="2E00437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1. Người nào lợi dụng hoặc lạm dụng chức vụ, quyền hạn giao đất, thu hồi, cho thuê, cho phép chuyển quyền sử dụng, cho phép chuyển mục đích sử dụng đất trái pháp luật thuộc một trong các trường hợp sau đây, thì bị phạt cải tạo không giam giữ đến ba năm hoặc phạt tù từ sáu tháng đến ba năm:</w:t>
      </w:r>
    </w:p>
    <w:p w14:paraId="5B2989D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Đã bị xử lý kỷ luật về hành vi này mà còn vi phạm;</w:t>
      </w:r>
    </w:p>
    <w:p w14:paraId="639AEEB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Đất có diện tích lớn hoặc có giá trị lớn;</w:t>
      </w:r>
    </w:p>
    <w:p w14:paraId="49C530A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nghiêm trọng.</w:t>
      </w:r>
    </w:p>
    <w:p w14:paraId="2CE97E9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hai năm đến bảy năm:</w:t>
      </w:r>
    </w:p>
    <w:p w14:paraId="14AB537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0BAD841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Đất có diện tích rất lớn hoặc có giá trị rất lớn;</w:t>
      </w:r>
    </w:p>
    <w:p w14:paraId="1AB18FB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rất nghiêm trọng.</w:t>
      </w:r>
    </w:p>
    <w:p w14:paraId="28E2669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thuộc một trong các trường hợp sau đây, thì bị phạt tù từ năm năm đến mười hai năm:</w:t>
      </w:r>
    </w:p>
    <w:p w14:paraId="1087BC2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Đất có diện tích đặc biệt lớn hoặc có giá trị đặc biệt lớn;</w:t>
      </w:r>
    </w:p>
    <w:p w14:paraId="4248F3B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Gây hậu quả đặc biệt nghiêm trọng.</w:t>
      </w:r>
    </w:p>
    <w:p w14:paraId="03BA700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tiền từ mười triệu đồng đến một trăm năm mươi triệu đồng, cấm đảm nhiệm chức vụ, cấm hành nghề hoặc làm công việc nhất định từ một năm đến năm năm.”</w:t>
      </w:r>
    </w:p>
    <w:p w14:paraId="22686708"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14. Bổ sung Điều 181a như sau:</w:t>
      </w:r>
    </w:p>
    <w:p w14:paraId="1A45510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181a. Tội cố ý công bố thông tin sai lệch hoặc che giấu sự thật trong hoạt động chứng khoán</w:t>
      </w:r>
    </w:p>
    <w:p w14:paraId="70418EE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 xml:space="preserve">1. Người nào cố ý công bố thông tin sai lệch hoặc che giấu sự thật liên quan đến việc chào bán, niêm yết, giao dịch, hoạt động kinh doanh chứng khoán, tổ chức thị trường, đăng ký, lưu ký, bù trừ hoặc thanh toán chứng khoán gây hậu quả nghiêm trọng, thì bị </w:t>
      </w:r>
      <w:r>
        <w:rPr>
          <w:rFonts w:ascii="Arial" w:hAnsi="Arial" w:cs="Arial"/>
          <w:color w:val="000000"/>
        </w:rPr>
        <w:lastRenderedPageBreak/>
        <w:t>phạt tiền từ một trăm triệu đồng đến năm trăm triệu đồng, cải tạo không giam giữ đến hai năm hoặc phạt tù từ sáu tháng đến hai năm.</w:t>
      </w:r>
    </w:p>
    <w:p w14:paraId="1E14BB5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một năm đến năm năm:</w:t>
      </w:r>
    </w:p>
    <w:p w14:paraId="1C64D18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62C5F8D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Thu lợi bất chính lớn;</w:t>
      </w:r>
    </w:p>
    <w:p w14:paraId="5FE8F63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rất nghiêm trọng hoặc đặc biệt nghiêm trọng;</w:t>
      </w:r>
    </w:p>
    <w:p w14:paraId="0739DA0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Tái phạm nguy hiểm.</w:t>
      </w:r>
    </w:p>
    <w:p w14:paraId="516EB7D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mười triệu đồng đến một trăm năm mươi triệu đồng, cấm đảm nhiệm chức vụ, cấm hành nghề hoặc làm công việc nhất định từ một năm đến năm năm.”</w:t>
      </w:r>
    </w:p>
    <w:p w14:paraId="1F8F2612"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15. Bổ sung Điều 181b như sau:</w:t>
      </w:r>
    </w:p>
    <w:p w14:paraId="51B4432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181b. Tội sử dụng thông tin nội bộ để mua bán chứng khoán</w:t>
      </w:r>
    </w:p>
    <w:p w14:paraId="0B80F50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biết được thông tin liên quan đến công ty đại chúng hoặc quỹ đại chúng chưa được công bố mà nếu được công bố có thể ảnh hưởng lớn đến giá chứng khoán của công ty đại chúng hoặc quỹ đại chúng đó mà sử dụng thông tin này để mua bán chứng khoán hoặc tiết lộ, cung cấp thông tin này hoặc tư vấn cho người khác mua bán chứng khoán trên cơ sở thông tin lớn, thì bị phạt tiền từ một trăm triệu đồng đến năm trăm triệu đồng, cải tạo không giam giữ đến ba năm hoặc phạt tù từ sáu tháng đến ba năm.</w:t>
      </w:r>
    </w:p>
    <w:p w14:paraId="6D43E5E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hai năm đến bảy năm:</w:t>
      </w:r>
    </w:p>
    <w:p w14:paraId="60D8A8A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72CA52A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Thu lợi bất chính rất lớn hoặc đặc biệt lớn;</w:t>
      </w:r>
    </w:p>
    <w:p w14:paraId="56D1978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nghiêm trọng;</w:t>
      </w:r>
    </w:p>
    <w:p w14:paraId="41AFCFC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Tái phạm nguy hiểm.</w:t>
      </w:r>
    </w:p>
    <w:p w14:paraId="10C2805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3. Người phạm tội còn có thể bị phạt tiền từ mười triệu đồng đến một trăm năm mươi triệu đồng, cấm đảm nhiệm chức vụ, cấm hành nghề hoặc làm công việc nhất định từ một năm đến năm năm.”</w:t>
      </w:r>
    </w:p>
    <w:p w14:paraId="10C2B0A0"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16. Bổ sung Điều 181c như sau:</w:t>
      </w:r>
    </w:p>
    <w:p w14:paraId="17FE98E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181c. Tội thao túng giá chứng khoán</w:t>
      </w:r>
    </w:p>
    <w:p w14:paraId="1D3BD6C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thực hiện một trong các hành vi thao túng giá chứng khoán sau đây gây hậu quả nghiêm trọng, thì bị phạt tiền từ một trăm triệu đồng đến năm trăm triệu đồng, cải tạo không giam giữ đến ba năm hoặc phạt tù từ sáu tháng đến ba năm:</w:t>
      </w:r>
    </w:p>
    <w:p w14:paraId="1BAAEDA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Thông đồng để thực hiện việc mua bán chứng khoán nhằm tạo ra cung cầu giả tạo;</w:t>
      </w:r>
    </w:p>
    <w:p w14:paraId="076CE2D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Giao dịch chứng khoán bằng hình thức cấu kết, lôi kéo người khác liên tục mua bán.</w:t>
      </w:r>
    </w:p>
    <w:p w14:paraId="7746EF2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hai năm đến bảy năm:</w:t>
      </w:r>
    </w:p>
    <w:p w14:paraId="77527D7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32A442A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Thu lợi bất chính lớn;</w:t>
      </w:r>
    </w:p>
    <w:p w14:paraId="629CF2D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rất nghiêm trọng hoặc đặc biệt nghiêm trọng;</w:t>
      </w:r>
    </w:p>
    <w:p w14:paraId="3A1C8EC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Tái phạm nguy hiểm.</w:t>
      </w:r>
    </w:p>
    <w:p w14:paraId="749E210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mười triệu đồng đến một trăm năm mươi triệu đồng, cấm đảm nhiệm chức vụ, cấm hành nghề hoặc làm công việc nhất định từ một năm đến năm năm.”</w:t>
      </w:r>
    </w:p>
    <w:p w14:paraId="71655D2F"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17. Điều 182 được sửa đổi, bổ sung như sau:</w:t>
      </w:r>
    </w:p>
    <w:p w14:paraId="58B4BFE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182. Tội gây ô nhiễm môi trường</w:t>
      </w:r>
    </w:p>
    <w:p w14:paraId="29329CB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thải vào không khí, nguồn nước, đất các chất gây ô nhiễm môi trường, phát tán bức xạ, phóng xạ vượt quá quy chuẩn kỹ thuật quốc gia về chất thải ở mức độ nghiêm trọng hoặc làm môi trường bị ô nhiễm nghiêm trọng hoặc gây hậu quả nghiêm trọng khác, thì bị phạt tiền từ năm mươi triệu đồng đến năm trăm triệu đồng, cải tạo không giam giữ đến ba năm hoặc phạt tù từ sáu tháng đến năm năm.</w:t>
      </w:r>
    </w:p>
    <w:p w14:paraId="15B3013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2. Phạm tội thuộc một trong các trường hợp sau đây, thì bị phạt tù từ ba năm đến mười năm:</w:t>
      </w:r>
    </w:p>
    <w:p w14:paraId="0F430BB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1A25A98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Làm môi trường bị ô nhiễm đặc biệt nghiêm trọng hoặc gây hậu quả rất nghiêm trọng, đặc biệt nghiêm trọng khác.</w:t>
      </w:r>
    </w:p>
    <w:p w14:paraId="31E45F8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mười triệu đồng đến một trăm năm mươi triệu đồng, cấm đảm nhiệm chức vụ, cấm hành nghề hoặc làm công việc nhất định từ một năm đến năm năm.”</w:t>
      </w:r>
    </w:p>
    <w:p w14:paraId="21328C13"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18. Bổ sung Điều 182a như sau:</w:t>
      </w:r>
    </w:p>
    <w:p w14:paraId="2B34854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182a. Tội vi phạm quy định về quản lý chất thải nguy hại</w:t>
      </w:r>
    </w:p>
    <w:p w14:paraId="18EAB0F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vi phạm quy định về quản lý chất thải nguy hại gây ô nhiễm môi trường nghiêm trọng hoặc gây hậu quả nghiêm trọng khác, nếu không thuộc trường hợp quy định tại Điều 182 của Bộ luật này, thì bị phạt tiền từ năm mươi triệu đồng đến năm trăm triệu đồng, phạt cải tạo không giam giữ đến hai năm hoặc phạt tù từ sáu tháng đến ba năm.</w:t>
      </w:r>
    </w:p>
    <w:p w14:paraId="7E94C7D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hai năm đến bảy năm:</w:t>
      </w:r>
    </w:p>
    <w:p w14:paraId="2CC2FBC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4F41497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Gây hậu quả rất nghiêm trọng;</w:t>
      </w:r>
    </w:p>
    <w:p w14:paraId="16AC747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Tái phạm nguy hiểm.</w:t>
      </w:r>
    </w:p>
    <w:p w14:paraId="70FB991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gây hậu quả đặc biệt nghiêm trọng thì bị phạt tù từ năm năm đến mười năm.</w:t>
      </w:r>
    </w:p>
    <w:p w14:paraId="7F2E091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tiền từ mười triệu đồng đến một trăm năm mươi triệu đồng, cấm đảm nhiệm chức vụ, cấm hành nghề hoặc làm công việc nhất định từ một năm đến năm năm.”</w:t>
      </w:r>
    </w:p>
    <w:p w14:paraId="241F6E21"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19. Bổ sung Điều 182b như sau:</w:t>
      </w:r>
    </w:p>
    <w:p w14:paraId="64D0B96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“Điều 182b. Tội vi phạm quy định về phòng ngừa sự cố môi trường</w:t>
      </w:r>
    </w:p>
    <w:p w14:paraId="3666C22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vi phạm quy định về phòng ngừa sự cố môi trường để xảy ra sự cố môi trường hoặc vi phạm quy định về ứng phó sự cố môi trường làm môi trường bị ô nhiễm nghiêm trọng hoặc gây hậu quả nghiêm trọng khác, thì bị phạt tiền từ năm mươi triệu đồng đến năm trăm triệu đồng, phạt cải tạo không giam giữ đến hai năm hoặc phạt tù từ sáu tháng đến ba năm.</w:t>
      </w:r>
    </w:p>
    <w:p w14:paraId="1F33EC9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gây hậu quả rất nghiêm trọng thì bị phạt tù từ hai năm đến bảy năm.</w:t>
      </w:r>
    </w:p>
    <w:p w14:paraId="26078E0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gây hậu quả đặc biệt nghiêm trọng thì bị phạt tù từ năm năm đến mười năm.</w:t>
      </w:r>
    </w:p>
    <w:p w14:paraId="0AE09F7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tiền từ mười triệu đồng đến một trăm năm mươi triệu đồng, cấm đảm nhiệm chức vụ, cấm hành nghề hoặc làm công việc nhất định từ một năm đến năm năm.”</w:t>
      </w:r>
    </w:p>
    <w:p w14:paraId="6651D0BF"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20. Điều 185 được sửa đổi, bổ sung như sau:</w:t>
      </w:r>
    </w:p>
    <w:p w14:paraId="6BC224A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185. Tội đưa chất thải vào lãnh thổ Việt Nam</w:t>
      </w:r>
    </w:p>
    <w:p w14:paraId="1204D86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lợi dụng việc nhập khẩu công nghệ, máy móc, thiết bị, phế liệu hoặc hóa chất, chế phẩm sinh học hoặc bằng thủ đoạn khác đưa vào lãnh thổ Việt Nam chất thải nguy hại hoặc chất thải khác với số lượng lớn hoặc gây hậu quả nghiêm trọng, thì bị phạt tiền từ hai trăm triệu đồng đến một tỷ đồng, cải tạo không giam giữ đến ba năm hoặc phạt tù từ sáu tháng đến ba năm.</w:t>
      </w:r>
    </w:p>
    <w:p w14:paraId="5EEF016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hai năm đến bảy năm:</w:t>
      </w:r>
    </w:p>
    <w:p w14:paraId="121563F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59A8161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Chất thải nguy hại có số lượng lớn hoặc chất thải khác có số lượng rất lớn hoặc đặc biệt lớn;</w:t>
      </w:r>
    </w:p>
    <w:p w14:paraId="2064BF7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rất nghiêm trọng;</w:t>
      </w:r>
    </w:p>
    <w:p w14:paraId="5411C77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gây hậu quả đặc biệt nghiêm trọng thì bị phạt tù từ năm năm đến mười năm.</w:t>
      </w:r>
    </w:p>
    <w:p w14:paraId="491D0F0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4. Người phạm tội còn có thể bị phạt tiền từ một trăm triệu đồng đến năm trăm triệu đồng, cấm đảm nhiệm chức vụ, cấm hành nghề hoặc làm công việc nhất định từ một năm đến năm năm.”</w:t>
      </w:r>
    </w:p>
    <w:p w14:paraId="7AD60BE7"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21. Điều 190 được sửa đổi, bổ sung như sau:</w:t>
      </w:r>
    </w:p>
    <w:p w14:paraId="00939C0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190. Tội vi phạm các quy định về bảo vệ động vật thuộc danh mục loài nguy cấp, quý, hiếm được ưu tiên bảo vệ</w:t>
      </w:r>
    </w:p>
    <w:p w14:paraId="39D461E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săn bắt, giết, vận chuyển, nuôi, nhốt, buôn bán trái phép động vật thuộc danh mục loài nguy cấp, quý, hiếm được ưu tiên bảo vệ hoặc vận chuyển, buôn bán trái phép bộ phận cơ thể hoặc sản phẩm của loài động vật đó, thì bị phạt tiền từ năm mươi triệu đồng đến năm trăm triệu đồng, cải tạo không giam giữ đến ba năm hoặc bị phạt tù từ sáu tháng đến ba năm.</w:t>
      </w:r>
    </w:p>
    <w:p w14:paraId="23BB98D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hai năm đến bảy năm:</w:t>
      </w:r>
    </w:p>
    <w:p w14:paraId="6EE3DDA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36BA3BA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Lợi dụng chức vụ, quyền hạn;</w:t>
      </w:r>
    </w:p>
    <w:p w14:paraId="21908C7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Sử dụng công cụ hoặc phương tiện săn bắt bị cấm;</w:t>
      </w:r>
    </w:p>
    <w:p w14:paraId="41691CD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Săn bắt trong khu vực bị cấm hoặc vào thời gian bị cấm;</w:t>
      </w:r>
    </w:p>
    <w:p w14:paraId="7884A17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 Gây hậu quả rất nghiêm trọng hoặc đặc biệt nghiêm trọng.</w:t>
      </w:r>
    </w:p>
    <w:p w14:paraId="133292D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mười triệu đồng đến một trăm triệu đồng, cấm đảm nhiệm chức vụ, cấm hành nghề hoặc làm công việc nhất định từ một năm đến năm năm.”</w:t>
      </w:r>
    </w:p>
    <w:p w14:paraId="163828D6"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22. Điều 191 được sửa đổi, bổ sung như sau:</w:t>
      </w:r>
    </w:p>
    <w:p w14:paraId="03834E5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191. Tội vi phạm các quy định về quản lý khu bảo tồn thiên nhiên</w:t>
      </w:r>
    </w:p>
    <w:p w14:paraId="5F614D1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vi phạm các quy định về quản lý khu bảo tồn thiên nhiên gây hậu quả nghiêm trọng, thì bị phạt tiền từ năm mươi triệu đồng đến năm trăm triệu đồng, cải tạo không giam giữ đến ba năm hoặc bị phạt tù từ sáu tháng đến ba năm.</w:t>
      </w:r>
    </w:p>
    <w:p w14:paraId="32D6BA3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2. Phạm tội gây hậu quả nghiêm trọng đối với phân khu bảo vệ nghiêm ngặt thì bị phạt tù từ hai năm đến năm năm.</w:t>
      </w:r>
    </w:p>
    <w:p w14:paraId="72B230B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thuộc một trong các trường hợp sau đây, thì bị phạt tù từ ba năm đến mười năm:</w:t>
      </w:r>
    </w:p>
    <w:p w14:paraId="39047FF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7CAD7D9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Sử dụng công cụ, phương tiện, biện pháp bị cấm;</w:t>
      </w:r>
    </w:p>
    <w:p w14:paraId="26B814C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rất nghiêm trọng hoặc đặc biệt nghiêm trọng đối với phân khu bảo vệ nghiêm ngặt.</w:t>
      </w:r>
    </w:p>
    <w:p w14:paraId="7F01C0C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tiền từ mười triệu đồng đến một trăm triệu đồng, cấm đảm nhiệm chức vụ, cấm hành nghề hoặc làm công việc nhất định từ một năm đến năm năm.”</w:t>
      </w:r>
    </w:p>
    <w:p w14:paraId="014D6BC3"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23. Bổ sung Điều 191a như sau:</w:t>
      </w:r>
    </w:p>
    <w:p w14:paraId="122BC6D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191a. Tội nhập khẩu, phát tán các loài ngoại lai xâm hại</w:t>
      </w:r>
    </w:p>
    <w:p w14:paraId="34773BD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cố ý nhập khẩu, phát tán các loài ngoại lai xâm hại gây hậu quả nghiêm trọng, thì bị phạt tiền từ năm mươi triệu đồng đến năm trăm triệu đồng, cải tạo không giam giữ đến ba năm hoặc phạt tù từ sáu tháng đến năm năm.</w:t>
      </w:r>
    </w:p>
    <w:p w14:paraId="5D40368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ba năm đến mười năm:</w:t>
      </w:r>
    </w:p>
    <w:p w14:paraId="0378EC2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5108E6D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Gây hậu quả rất nghiêm trọng hoặc đặc biệt nghiêm trọng;</w:t>
      </w:r>
    </w:p>
    <w:p w14:paraId="5D8DA3C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Tái phạm nguy hiểm.</w:t>
      </w:r>
    </w:p>
    <w:p w14:paraId="1DD1981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mười triệu đồng đến một trăm triệu đồng, cấm đảm nhiệm chức vụ, cấm hành nghề hoặc làm công việc nhất định từ một năm đến năm năm.”</w:t>
      </w:r>
    </w:p>
    <w:p w14:paraId="0CC448B4"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24. Điểm b khoản 2 Điều 202 được sửa đổi, bổ sung như sau:</w:t>
      </w:r>
    </w:p>
    <w:p w14:paraId="6125EA8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“b) Trong tình trạng có sử dụng rượu, bia mà trong máu hoặc hơi thở có nồng độ cồn vượt quá mức quy định hoặc có sử dụng các chất kích thích mạnh khác mà pháp luật cấm sử dụng;”</w:t>
      </w:r>
    </w:p>
    <w:p w14:paraId="06A2D4F3"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25. Điều 224 được sửa đổi, bổ sung như sau:</w:t>
      </w:r>
    </w:p>
    <w:p w14:paraId="2FD01F9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224. Tội phát tán vi rút, chương trình tin học có tính năng gây hại cho hoạt động của mạng máy tính, mạng viễn thông, mạng Internet, thiết bị số</w:t>
      </w:r>
    </w:p>
    <w:p w14:paraId="5E585E8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cố ý phát tán vi rút, chương trình tin học có tính năng gây hại cho mạng máy tính, mạng viễn thông, mạng Internet, thiết bị số gây hậu quả nghiêm trọng, thì bị phạt tiền từ hai mươi triệu đồng đến hai trăm triệu đồng hoặc phạt tù từ một năm đến năm năm.</w:t>
      </w:r>
    </w:p>
    <w:p w14:paraId="7F2F8B9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ba năm đến bảy năm:</w:t>
      </w:r>
    </w:p>
    <w:p w14:paraId="5E0A967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573C1EA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Gây hậu quả rất nghiêm trọng;</w:t>
      </w:r>
    </w:p>
    <w:p w14:paraId="38703C4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Tái phạm nguy hiểm.</w:t>
      </w:r>
    </w:p>
    <w:p w14:paraId="44C4C98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thuộc một trong các trường hợp sau đây, thì bị phạt tù từ năm năm đến mười hai năm:</w:t>
      </w:r>
    </w:p>
    <w:p w14:paraId="4C733AA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Đối với hệ thống dữ liệu thuộc bí mật nhà nước; hệ thống thông tin phục vụ an ninh, quốc phòng;</w:t>
      </w:r>
    </w:p>
    <w:p w14:paraId="7B9EA60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Đối với cơ sở hạ tầng thông tin quốc gia; hệ thống thông tin điều hành lưới điện quốc gia; hệ thống thông tin tài chính, ngân hàng; hệ thống thông tin điều khiển giao thông;</w:t>
      </w:r>
    </w:p>
    <w:p w14:paraId="1054810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đặc biệt nghiêm trọng.</w:t>
      </w:r>
    </w:p>
    <w:p w14:paraId="14E7012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tiền từ năm triệu đồng đến năm mươi triệu đồng, cấm đảm nhiệm chức vụ, cấm hành nghề hoặc làm công việc nhất định từ một năm đến năm năm.”</w:t>
      </w:r>
    </w:p>
    <w:p w14:paraId="7D22EDB5"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26. Điều 225 được sửa đổi, bổ sung như sau:</w:t>
      </w:r>
    </w:p>
    <w:p w14:paraId="400624B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“Điều 225. Tội cản trở hoặc gây rối loạn hoạt động của mạng máy tính, mạng viễn thông, mạng Internet, thiết bị số</w:t>
      </w:r>
    </w:p>
    <w:p w14:paraId="46BBC3A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thực hiện một trong các hành vi sau đây gây hậu quả nghiêm trọng nếu không thuộc trường hợp quy định tại Điều 224 và Điều 226a của Bộ luật này, thì bị phạt tiền từ hai mươi triệu đồng đến hai trăm triệu đồng hoặc phạt tù từ một năm đến năm năm:</w:t>
      </w:r>
    </w:p>
    <w:p w14:paraId="2C4E57A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Tự ý xóa, làm tổn hại hoặc thay đổi phần mềm, dữ liệu thiết bị số;</w:t>
      </w:r>
    </w:p>
    <w:p w14:paraId="5484938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Ngăn chặn trái phép việc truyền tải dữ liệu của mạng máy tính, mạng viễn thông, mạng Internet, thiết bị số;</w:t>
      </w:r>
    </w:p>
    <w:p w14:paraId="7D1C8C4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Hành vi khác cản trở hoặc gây rối loạn hoạt động của mạng máy tính, mạng viễn thông, mạng Internet, thiết bị số.</w:t>
      </w:r>
    </w:p>
    <w:p w14:paraId="4B3EE27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ba năm đến bảy năm:</w:t>
      </w:r>
    </w:p>
    <w:p w14:paraId="4682417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0E15B34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Lợi dụng quyền quản trị mạng máy tính, mạng viễn thông, mạng Internet;</w:t>
      </w:r>
    </w:p>
    <w:p w14:paraId="718C07E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rất nghiêm trọng;</w:t>
      </w:r>
    </w:p>
    <w:p w14:paraId="241829F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thuộc một trong các trường hợp sau đây, thì bị phạt tù từ năm năm đến mười hai năm:</w:t>
      </w:r>
    </w:p>
    <w:p w14:paraId="4E0DFAA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Đối với hệ thống dữ liệu thuộc bí mật nhà nước; hệ thống thông tin phục vụ an ninh, quốc phòng;</w:t>
      </w:r>
    </w:p>
    <w:p w14:paraId="095605C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Đối với cơ sở hạ tầng thông tin quốc gia; hệ thống thông tin điều hành lưới điện quốc gia; hệ thống thông tin tài chính, ngân hàng; hệ thống thông tin điều khiển giao thông;</w:t>
      </w:r>
    </w:p>
    <w:p w14:paraId="4427873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đặc biệt nghiêm trọng.</w:t>
      </w:r>
    </w:p>
    <w:p w14:paraId="3B7B3B7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tiền từ năm triệu đồng đến năm mươi triệu đồng, cấm đảm nhiệm chức vụ, cấm hành nghề hoặc làm công việc nhất định từ một năm đến năm năm.”</w:t>
      </w:r>
    </w:p>
    <w:p w14:paraId="01A5596B"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27. Điều 226 được sửa đổi, bổ sung như sau:</w:t>
      </w:r>
    </w:p>
    <w:p w14:paraId="3F6403C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226. Tội đưa hoặc sử dụng trái phép thông tin mạng máy tính, mạng viễn thông, mạng Internet</w:t>
      </w:r>
    </w:p>
    <w:p w14:paraId="7AF20C6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thực hiện một trong các hành vi sau đây xâm phạm lợi ích của cơ quan, tổ chức, cá nhân, xâm phạm trật tự, an toàn xã hội gây hậu quả nghiêm trọng, thì bị phạt tiền từ mười triệu đồng đến một trăm triệu đồng, cải tạo không giam giữ đến ba năm hoặc bị phạt tù từ sáu tháng đến ba năm:</w:t>
      </w:r>
    </w:p>
    <w:p w14:paraId="32D30E0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Đưa lên mạng máy tính, mạng viễn thông, mạng Internet những thông tin trái với quy định của pháp luật, nếu không thuộc trường hợp quy định tại Điều 88 và Điều 253 của Bộ luật này;</w:t>
      </w:r>
    </w:p>
    <w:p w14:paraId="65CD31E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Mua bán, trao đổi, tặng cho, sửa chữa, thay đổi hoặc công khai hóa những thông tin riêng hợp pháp của cơ quan, tổ chức, cá nhân khác trên mạng máy tính, mạng viễn thông, mạng Internet mà không được phép của chủ sở hữu thông tin đó;</w:t>
      </w:r>
    </w:p>
    <w:p w14:paraId="0C012AB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Hành vi khác sử dụng trái phép thông tin trên mạng máy tính, mạng viễn thông, mạng Internet.</w:t>
      </w:r>
    </w:p>
    <w:p w14:paraId="23D06B4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hai năm đến bảy năm:</w:t>
      </w:r>
    </w:p>
    <w:p w14:paraId="0DAF35A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15A9A1A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Lợi dụng quyền quản trị mạng máy tính, mạng viễn thông, mạng Internet;</w:t>
      </w:r>
    </w:p>
    <w:p w14:paraId="27AC668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Thu lợi bất chính từ một trăm triệu đồng trở lên;</w:t>
      </w:r>
    </w:p>
    <w:p w14:paraId="1BE62C7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Gây hậu quả rất nghiêm trọng hoặc đặc biệt nghiêm trọng.</w:t>
      </w:r>
    </w:p>
    <w:p w14:paraId="6844F93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hai mươi triệu đồng đến hai trăm triệu đồng, cấm đảm nhiệm chức vụ, cấm hành nghề hoặc làm công việc nhất định từ một năm đến năm năm.”</w:t>
      </w:r>
    </w:p>
    <w:p w14:paraId="3919BC53"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28. Bổ sung Điều 226a như sau:</w:t>
      </w:r>
    </w:p>
    <w:p w14:paraId="2B5A93F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226a. Tội truy cập bất hợp pháp vào mạng máy tính, mạng viễn thông, mạng Internet hoặc thiết bị số của người khác</w:t>
      </w:r>
    </w:p>
    <w:p w14:paraId="4CEB667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1. Người nào cố ý vượt qua cảnh báo, mã truy cập, tường lửa, sử dụng quyền quản trị của người khác hoặc bằng phương thức khác truy cập bất hợp pháp vào mạng máy tính, mạng viễn thông, mạng Internet hoặc thiết bị số của người khác chiếm quyền điều khiển; can thiệp vào chức năng hoạt động của thiết bị số; lấy cắp, thay đổi, hủy hoại, làm giả dữ liệu hoặc sử dụng trái phép các dịch vụ, thì bị phạt tiền từ hai mươi triệu đồng đến hai trăm triệu đồng hoặc phạt tù từ một năm đến năm năm.</w:t>
      </w:r>
    </w:p>
    <w:p w14:paraId="7DC5AC4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ba năm đến bảy năm:</w:t>
      </w:r>
    </w:p>
    <w:p w14:paraId="236E241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536B3E2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Lợi dụng chức vụ, quyền hạn;</w:t>
      </w:r>
    </w:p>
    <w:p w14:paraId="543D2A8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Thu lợi bất chính lớn;</w:t>
      </w:r>
    </w:p>
    <w:p w14:paraId="499633C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Gây hậu quả nghiêm trọng;</w:t>
      </w:r>
    </w:p>
    <w:p w14:paraId="224CF08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 Tái phạm nguy hiểm.</w:t>
      </w:r>
    </w:p>
    <w:p w14:paraId="7CB403F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thuộc một trong các trường hợp sau đây, thì bị phạt tù từ năm năm đến mười hai năm:</w:t>
      </w:r>
    </w:p>
    <w:p w14:paraId="210A13C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Đối với hệ thống dữ liệu thuộc bí mật nhà nước; hệ thống thông tin phục vụ an ninh, quốc phòng;</w:t>
      </w:r>
    </w:p>
    <w:p w14:paraId="1AA5470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Đối với cơ sở hạ tầng thông tin quốc gia; hệ thống thông tin điều hành lưới điện quốc gia; hệ thống thông tin tài chính, ngân hàng; hệ thống thông tin điều khiển giao thông;</w:t>
      </w:r>
    </w:p>
    <w:p w14:paraId="51A1D46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Thu lợi bất chính rất lớn hoặc đặc biệt lớn;</w:t>
      </w:r>
    </w:p>
    <w:p w14:paraId="485EEBA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Gây hậu quả rất nghiêm trọng hoặc đặc biệt nghiêm trọng.</w:t>
      </w:r>
    </w:p>
    <w:p w14:paraId="7C835D4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tiền từ năm triệu đồng đến năm mươi triệu đồng, cấm đảm nhiệm chức vụ, cấm hành nghề hoặc làm công việc nhất định từ một năm đến năm năm.”</w:t>
      </w:r>
    </w:p>
    <w:p w14:paraId="569D5C8E"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29. Bổ sung Điều 226b như sau:</w:t>
      </w:r>
    </w:p>
    <w:p w14:paraId="6DF49A9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“Điều 226b. Tội sử dụng mạng máy tính, mạng viễn thông, mạng Internet hoặc thiết bị số thực hiện hành vi chiếm đoạt tài sản</w:t>
      </w:r>
    </w:p>
    <w:p w14:paraId="5BDC498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sử dụng mạng máy tính, mạng viễn thông, mạng Internet hoặc thiết bị số thực hiện một trong những hành vi sau đây, thì bị phạt tiền từ mười triệu đồng đến một trăm triệu đồng hoặc phạt tù từ một năm đến năm năm:</w:t>
      </w:r>
    </w:p>
    <w:p w14:paraId="2CFCDD5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Sử dụng thông tin về tài khoản, thẻ ngân hàng của cơ quan, tổ chức, cá nhân để chiếm đoạt hoặc làm giả thẻ ngân hàng nhằm chiếm đoạt tài sản của chủ thẻ hoặc thanh toán hàng hóa, dịch vụ;</w:t>
      </w:r>
    </w:p>
    <w:p w14:paraId="7BC50A2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Truy cập bất hợp pháp vào tài khoản của cơ quan, tổ chức, cá nhân nhằm chiếm đoạt tài sản;</w:t>
      </w:r>
    </w:p>
    <w:p w14:paraId="5123846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Lừa đảo trong thương mại điện tử, kinh doanh tiền tệ, huy động vốn tín dụng, mua bán và thanh toán cổ phiếu qua mạng nhằm chiếm đoạt tài sản của cơ quan, tổ chức, cá nhân;</w:t>
      </w:r>
    </w:p>
    <w:p w14:paraId="5A9B8EE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Hành vi khác nhằm chiếm đoạt tài sản của cơ quan, tổ chức, cá nhân.</w:t>
      </w:r>
    </w:p>
    <w:p w14:paraId="1CC711B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ba năm đến bảy năm:</w:t>
      </w:r>
    </w:p>
    <w:p w14:paraId="1BFE3C8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03647AE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Phạm tội nhiều lần;</w:t>
      </w:r>
    </w:p>
    <w:p w14:paraId="40CBDFC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Có tính chất chuyên nghiệp;</w:t>
      </w:r>
    </w:p>
    <w:p w14:paraId="6855032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Chiếm đoạt tài sản có giá trị từ năm mươi triệu đồng đến dưới hai trăm triệu đồng;</w:t>
      </w:r>
    </w:p>
    <w:p w14:paraId="2065CC0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 Gây hậu quả nghiêm trọng;</w:t>
      </w:r>
    </w:p>
    <w:p w14:paraId="7C51D80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e) Tái phạm nguy hiểm.</w:t>
      </w:r>
    </w:p>
    <w:p w14:paraId="6AD86A9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thuộc một trong các trường hợp sau đây, thì bị phạt tù từ bảy năm đến mười lăm năm:</w:t>
      </w:r>
    </w:p>
    <w:p w14:paraId="0B7D0C2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Chiếm đoạt tài sản có giá trị từ hai trăm triệu đồng đến dưới năm trăm triệu đồng;</w:t>
      </w:r>
    </w:p>
    <w:p w14:paraId="5748E98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b) Gây hậu quả rất nghiêm trọng.</w:t>
      </w:r>
    </w:p>
    <w:p w14:paraId="2334797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Phạm tội thuộc một trong các trường hợp sau đây, thì bị phạt tù từ mười hai năm đến hai mươi năm hoặc tù chung thân:</w:t>
      </w:r>
    </w:p>
    <w:p w14:paraId="2F24FA1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Chiếm đoạt tài sản có giá trị từ năm trăm triệu đồng trở lên;</w:t>
      </w:r>
    </w:p>
    <w:p w14:paraId="389B03B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Gây hậu quả đặc biệt nghiêm trọng.</w:t>
      </w:r>
    </w:p>
    <w:p w14:paraId="2DEB837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5. Người phạm tội còn có thể bị phạt tiền từ năm triệu đồng đến một trăm triệu đồng, tịch thu một phần hoặc toàn bộ tài sản, cấm đảm nhiệm chức vụ, cấm hành nghề hoặc làm công việc nhất định từ một năm đến năm năm.”</w:t>
      </w:r>
    </w:p>
    <w:p w14:paraId="3F2028BA"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30. Bổ sung Điều 230a như sau:</w:t>
      </w:r>
    </w:p>
    <w:p w14:paraId="4FC74B0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230a. Tội khủng bố</w:t>
      </w:r>
    </w:p>
    <w:p w14:paraId="2B951A4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nhằm gây ra tình trạng hoảng sợ trong công chúng mà xâm phạm tính mạng của người khác hoặc phá hủy tài sản của cơ quan, tổ chức, cá nhân, thì bị phạt tù từ mười năm đến hai mươi năm, tù chung thân hoặc tử hình.</w:t>
      </w:r>
    </w:p>
    <w:p w14:paraId="121D5F53"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trong trường hợp xâm phạm tự do thân thể, sức khỏe hoặc chiếm giữ, làm hư hại tài sản của cơ quan, tổ chức, cá nhân, thì bị phạt tù từ năm năm đến mười lăm năm.</w:t>
      </w:r>
    </w:p>
    <w:p w14:paraId="0BDEA49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trong trường hợp đe dọa thực hiện một trong các hành vi quy định tại khoản 1 Điều này hoặc có những hành vi khác uy hiếp tinh thần, thì bị phạt tù từ hai năm đến bảy năm.</w:t>
      </w:r>
    </w:p>
    <w:p w14:paraId="775DA3A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phạt quản chế, cấm cư trú từ một năm đến năm năm, tịch thu một phần hoặc toàn bộ tài sản.</w:t>
      </w:r>
    </w:p>
    <w:p w14:paraId="5E5C133C"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31. Bổ sung Điều 230b như sau:</w:t>
      </w:r>
    </w:p>
    <w:p w14:paraId="0D5ACF6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230b. Tội tài trợ khủng bố</w:t>
      </w:r>
    </w:p>
    <w:p w14:paraId="6FD427E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huy động, hỗ trợ tiền, tài sản dưới bất kỳ hình thức nào cho tổ chức, cá nhân khủng bố, thì bị phạt tù từ năm năm đến mười năm.</w:t>
      </w:r>
    </w:p>
    <w:p w14:paraId="390C395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2. Người phạm tội còn có thể bị phạt quản chế, cấm cư trú từ một năm đến năm năm, tịch thu một phần hoặc toàn bộ tài sản.”</w:t>
      </w:r>
    </w:p>
    <w:p w14:paraId="25017A48"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32. Điều 248 được sửa đổi, bổ sung như sau:</w:t>
      </w:r>
    </w:p>
    <w:p w14:paraId="44BCD94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248. Tội đánh bạc</w:t>
      </w:r>
    </w:p>
    <w:p w14:paraId="1BE91AD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đánh bạc trái phép dưới bất kỳ hình thức nào được thua bằng tiền hay hiện vật có giá trị từ hai triệu đồng đến dưới năm mươi triệu đồng hoặc dưới hai triệu đồng nhưng đã bị kết án về tội này hoặc tội quy định tại Điều 249 của Bộ luật này, chưa được xóa án tích mà còn vi phạm, thì bị phạt tiền từ năm triệu đồng đến năm mươi triệu đồng, cải tạo không giam giữ đến ba năm hoặc phạt tù từ ba tháng đến ba năm.</w:t>
      </w:r>
    </w:p>
    <w:p w14:paraId="58B788F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hai năm đến bảy năm:</w:t>
      </w:r>
    </w:p>
    <w:p w14:paraId="140E43E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tính chất chuyên nghiệp;</w:t>
      </w:r>
    </w:p>
    <w:p w14:paraId="0250868F"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Tiền hoặc hiện vật dùng đánh bạc có giá trị từ năm mươi triệu đồng trở lên;</w:t>
      </w:r>
    </w:p>
    <w:p w14:paraId="6646DCE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Tái phạm nguy hiểm.</w:t>
      </w:r>
    </w:p>
    <w:p w14:paraId="4795C2F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Người phạm tội còn có thể bị phạt tiền từ ba triệu đồng đến ba mươi triệu đồng”.</w:t>
      </w:r>
    </w:p>
    <w:p w14:paraId="57666DC7"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33. Khoản 1 Điều 249 được sửa đổi, bổ sung như sau:</w:t>
      </w:r>
    </w:p>
    <w:p w14:paraId="0F8E4D8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tổ chức đánh bạc hoặc gá bạc trái phép với quy mô lớn hoặc đã bị xử phạt hành chính về hành vi quy định tại Điều này và Điều 248 của Bộ luật này hoặc đã bị kết án về một trong các tội này, chưa được xóa án tích mà còn vi phạm, thì bị phạt tiền từ mười triệu đồng đến ba trăm triệu đồng hoặc phạt tù từ một năm đến năm năm.”</w:t>
      </w:r>
    </w:p>
    <w:p w14:paraId="6140EC8A"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34. Điều 251 được sửa đổi, bổ sung như sau:</w:t>
      </w:r>
    </w:p>
    <w:p w14:paraId="12BF425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251. Tội rửa tiền</w:t>
      </w:r>
    </w:p>
    <w:p w14:paraId="4E603BF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Người nào thực hiện một trong các hành vi sau đây, thì bị phạt tù từ một năm đến năm năm:</w:t>
      </w:r>
    </w:p>
    <w:p w14:paraId="5CE9A6C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a) Tham gia trực tiếp hoặc gián tiếp vào giao dịch tài chính, ngân hàng hoặc giao dịch khác liên quan đến tiền, tài sản biết rõ là do phạm tội mà có nhằm che giấu nguồn gốc bất hợp pháp của tiền, tài sản đó;</w:t>
      </w:r>
    </w:p>
    <w:p w14:paraId="0AB0330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Sử dụng tiền, tài sản biết rõ là do phạm tội mà có vào việc tiến hành các hoạt động kinh doanh hoặc hoạt động khác;</w:t>
      </w:r>
    </w:p>
    <w:p w14:paraId="24A179D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Che giấu thông tin về nguồn gốc, bản chất thực sự, vị trí, quá trình di chuyển hoặc quyền sở hữu đối với tiền, tài sản biết rõ là do phạm tội mà có hoặc cản trở việc xác minh các thông tin đó;</w:t>
      </w:r>
    </w:p>
    <w:p w14:paraId="61CCFE9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Thực hiện một trong các hành vi quy định tại các điểm a, b và c khoản này đối với tiền, tài sản biết rõ là có được từ việc chuyển dịch, chuyển nhượng, chuyển đổi tiền, tài sản do phạm tội mà có.</w:t>
      </w:r>
    </w:p>
    <w:p w14:paraId="104F782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Phạm tội thuộc một trong các trường hợp sau đây, thì bị phạt tù từ ba năm đến mười năm:</w:t>
      </w:r>
    </w:p>
    <w:p w14:paraId="53C1BB8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Có tổ chức;</w:t>
      </w:r>
    </w:p>
    <w:p w14:paraId="4A43DC7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b) Lợi dụng chức vụ, quyền hạn;</w:t>
      </w:r>
    </w:p>
    <w:p w14:paraId="286DCACD"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Phạm tội nhiều lần;</w:t>
      </w:r>
    </w:p>
    <w:p w14:paraId="1709E0D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d) Có tính chất chuyên nghiệp;</w:t>
      </w:r>
    </w:p>
    <w:p w14:paraId="7103145B"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 Dùng thủ đoạn tinh vi, xảo quyệt;</w:t>
      </w:r>
    </w:p>
    <w:p w14:paraId="1E30E41E"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e) Tiền, tài sản phạm tội có giá trị lớn;</w:t>
      </w:r>
    </w:p>
    <w:p w14:paraId="54AC0C8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g) Thu lợi bất chính lớn;</w:t>
      </w:r>
    </w:p>
    <w:p w14:paraId="676917F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h) Gây hậu quả nghiêm trọng;</w:t>
      </w:r>
    </w:p>
    <w:p w14:paraId="45C85948"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i) Tái phạm nguy hiểm.</w:t>
      </w:r>
    </w:p>
    <w:p w14:paraId="32160C1A"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3. Phạm tội thuộc một trong các trường hợp sau đây, thì bị phạt tù từ tám năm đến mười lăm năm:</w:t>
      </w:r>
    </w:p>
    <w:p w14:paraId="12DB1F55"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a) Tiền, tài sản phạm tội có giá trị rất lớn hoặc đặc biệt lớn;</w:t>
      </w:r>
    </w:p>
    <w:p w14:paraId="7B4DCA34"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lastRenderedPageBreak/>
        <w:t>b) Thu lợi bất chính rất lớn hoặc đặc biệt lớn;</w:t>
      </w:r>
    </w:p>
    <w:p w14:paraId="72533449"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c) Gây hậu quả rất nghiêm trọng hoặc đặc biệt nghiêm trọng.</w:t>
      </w:r>
    </w:p>
    <w:p w14:paraId="7D09B70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4. Người phạm tội còn có thể bị tịch thu một phần hoặc toàn bộ tài sản, phạt tiền đến ba lần số tiền hoặc giá trị tài sản phạm tội, cấm đảm nhiệm chức vụ, cấm hành nghề hoặc làm công việc nhất định từ một năm đến năm năm.”</w:t>
      </w:r>
    </w:p>
    <w:p w14:paraId="78C0422A"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35. Điều 274 được sửa đổi như sau:</w:t>
      </w:r>
    </w:p>
    <w:p w14:paraId="02B73A60"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“Điều 274. Tội xuất cảnh, nhập cảnh trái phép; tội ở lại Việt Nam trái phép</w:t>
      </w:r>
    </w:p>
    <w:p w14:paraId="4A4724C1"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Người nào xuất cảnh, nhập cảnh trái phép hoặc ở lại Việt Nam trái phép, đã bị xử phạt hành chính về hành vi này mà còn vi phạm, thì bị phạt tiền từ năm triệu đồng đến năm mươi triệu đồng hoặc phạt tù từ ba tháng đến hai năm.”</w:t>
      </w:r>
    </w:p>
    <w:p w14:paraId="2659DC94"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36. Bãi bỏ các điều 131, 183, 184 và 199.</w:t>
      </w:r>
    </w:p>
    <w:p w14:paraId="606FE9CA"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 </w:t>
      </w:r>
      <w:r>
        <w:rPr>
          <w:rFonts w:ascii="Arial" w:hAnsi="Arial" w:cs="Arial"/>
          <w:color w:val="000000"/>
        </w:rPr>
        <w:t>Sửa đổi, bổ sung một số cụm từ tại khoản 1 Điều 313 như sau:</w:t>
      </w:r>
    </w:p>
    <w:p w14:paraId="4068C3EC"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Sửa đổi cụm từ “Điều 119, khoản 2 (tội mua bán phụ nữ)” thành cụm từ “Điều 119, khoản 2 (tội mua bán người)”;</w:t>
      </w:r>
    </w:p>
    <w:p w14:paraId="0E3110E6"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Bổ sung cụm từ “Điều 230a (tội khủng bố)” vào sau cụm từ “Điều 230 (tội chế tạo, tàng trữ, vận chuyển, sử dụng, mua bán trái phép hoặc chiếm đoạt vũ khí quân dụng, phương tiện kỹ thuật quân sự)”.</w:t>
      </w:r>
    </w:p>
    <w:p w14:paraId="0B620B12" w14:textId="77777777" w:rsidR="00244893" w:rsidRDefault="00244893" w:rsidP="00244893">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w:t>
      </w:r>
    </w:p>
    <w:p w14:paraId="4B4F57E7"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1. Luật này có hiệu lực thi hành từ ngày 01 tháng 01 năm 2010.</w:t>
      </w:r>
    </w:p>
    <w:p w14:paraId="3DEC12C2" w14:textId="77777777" w:rsidR="00244893" w:rsidRDefault="00244893" w:rsidP="00244893">
      <w:pPr>
        <w:pStyle w:val="NormalWeb"/>
        <w:spacing w:after="90" w:afterAutospacing="0" w:line="345" w:lineRule="atLeast"/>
        <w:jc w:val="both"/>
        <w:rPr>
          <w:rFonts w:ascii="Arial" w:hAnsi="Arial" w:cs="Arial"/>
        </w:rPr>
      </w:pPr>
      <w:r>
        <w:rPr>
          <w:rFonts w:ascii="Arial" w:hAnsi="Arial" w:cs="Arial"/>
          <w:color w:val="000000"/>
        </w:rPr>
        <w:t>2. Chính phủ, Tòa án nhân dân tối cao, Viện Kiểm sát nhân dân tối cao trong phạm vi nhiệm vụ, quyền hạn của mình hướng dẫn thi hành Luật này.</w:t>
      </w:r>
    </w:p>
    <w:p w14:paraId="24986E27" w14:textId="77777777" w:rsidR="00244893" w:rsidRDefault="00244893" w:rsidP="00244893">
      <w:pPr>
        <w:pStyle w:val="NormalWeb"/>
        <w:spacing w:after="90" w:afterAutospacing="0" w:line="345" w:lineRule="atLeast"/>
        <w:jc w:val="both"/>
        <w:rPr>
          <w:rFonts w:ascii="Arial" w:hAnsi="Arial" w:cs="Arial"/>
        </w:rPr>
      </w:pPr>
      <w:r>
        <w:rPr>
          <w:rStyle w:val="Emphasis"/>
          <w:rFonts w:ascii="Arial" w:hAnsi="Arial" w:cs="Arial"/>
          <w:color w:val="000000"/>
          <w:sz w:val="21"/>
          <w:szCs w:val="21"/>
        </w:rPr>
        <w:t>Luật này đã được Quốc hội nước Cộng hòa xã hội chủ nghĩa Việt Nam khóa XII, kỳ họp thứ 5 thông qua ngày 19 tháng 6 năm 2009./.</w:t>
      </w:r>
    </w:p>
    <w:p w14:paraId="06C68133" w14:textId="77777777" w:rsidR="00244893" w:rsidRDefault="00244893" w:rsidP="00244893">
      <w:pPr>
        <w:pStyle w:val="NormalWeb"/>
        <w:spacing w:after="90" w:afterAutospacing="0" w:line="345" w:lineRule="atLeast"/>
        <w:jc w:val="both"/>
        <w:rPr>
          <w:rFonts w:ascii="Arial" w:hAnsi="Arial" w:cs="Arial"/>
        </w:rPr>
      </w:pP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244893" w14:paraId="108BCA9C" w14:textId="77777777" w:rsidTr="00244893">
        <w:trPr>
          <w:tblCellSpacing w:w="0" w:type="dxa"/>
          <w:jc w:val="center"/>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572965" w14:textId="77777777" w:rsidR="00244893" w:rsidRDefault="00244893">
            <w:pPr>
              <w:pStyle w:val="NormalWeb"/>
              <w:spacing w:after="90" w:afterAutospacing="0" w:line="345" w:lineRule="atLeast"/>
              <w:jc w:val="center"/>
              <w:rPr>
                <w:rFonts w:ascii="Arial" w:hAnsi="Arial" w:cs="Arial"/>
                <w:sz w:val="21"/>
                <w:szCs w:val="21"/>
              </w:rPr>
            </w:pP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DBAD15" w14:textId="77777777" w:rsidR="00244893" w:rsidRDefault="00244893">
            <w:pPr>
              <w:pStyle w:val="NormalWeb"/>
              <w:spacing w:after="90" w:afterAutospacing="0" w:line="345" w:lineRule="atLeast"/>
              <w:jc w:val="center"/>
              <w:rPr>
                <w:rFonts w:ascii="Arial" w:hAnsi="Arial" w:cs="Arial"/>
                <w:sz w:val="21"/>
                <w:szCs w:val="21"/>
              </w:rPr>
            </w:pPr>
            <w:r>
              <w:rPr>
                <w:rStyle w:val="Strong"/>
                <w:rFonts w:ascii="Arial" w:hAnsi="Arial" w:cs="Arial"/>
                <w:color w:val="000000"/>
                <w:sz w:val="21"/>
                <w:szCs w:val="21"/>
              </w:rPr>
              <w:t>CHỦ TỊCH QUỐC HỘI </w:t>
            </w:r>
            <w:r>
              <w:rPr>
                <w:rFonts w:ascii="Arial" w:hAnsi="Arial" w:cs="Arial"/>
                <w:color w:val="000000"/>
                <w:sz w:val="21"/>
                <w:szCs w:val="21"/>
              </w:rPr>
              <w:br/>
            </w:r>
            <w:r>
              <w:rPr>
                <w:rFonts w:ascii="Arial" w:hAnsi="Arial" w:cs="Arial"/>
                <w:color w:val="000000"/>
                <w:sz w:val="21"/>
                <w:szCs w:val="21"/>
              </w:rPr>
              <w:lastRenderedPageBreak/>
              <w:br/>
            </w:r>
            <w:r>
              <w:rPr>
                <w:rStyle w:val="Emphasis"/>
                <w:rFonts w:ascii="Arial" w:hAnsi="Arial" w:cs="Arial"/>
                <w:b/>
                <w:bCs/>
                <w:color w:val="000000"/>
                <w:sz w:val="21"/>
                <w:szCs w:val="21"/>
              </w:rPr>
              <w:t>(Đã ký)</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Nguyễn Phú Trọng</w:t>
            </w:r>
          </w:p>
        </w:tc>
      </w:tr>
    </w:tbl>
    <w:p w14:paraId="5DE87D30" w14:textId="77777777" w:rsidR="00244893" w:rsidRDefault="00244893" w:rsidP="00244893">
      <w:pPr>
        <w:spacing w:line="375" w:lineRule="atLeast"/>
        <w:jc w:val="both"/>
        <w:rPr>
          <w:rFonts w:ascii="Arial" w:eastAsia="Times New Roman" w:hAnsi="Arial" w:cs="Arial"/>
          <w:sz w:val="21"/>
          <w:szCs w:val="21"/>
        </w:rPr>
      </w:pPr>
    </w:p>
    <w:p w14:paraId="2331758F" w14:textId="77777777" w:rsidR="00E91008" w:rsidRPr="00244893" w:rsidRDefault="00E91008" w:rsidP="00244893">
      <w:bookmarkStart w:id="0" w:name="_GoBack"/>
      <w:bookmarkEnd w:id="0"/>
    </w:p>
    <w:sectPr w:rsidR="00E91008" w:rsidRPr="00244893" w:rsidSect="008744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02CF7" w14:textId="77777777" w:rsidR="00B512E1" w:rsidRDefault="00B512E1" w:rsidP="007446EA">
      <w:pPr>
        <w:spacing w:after="0" w:line="240" w:lineRule="auto"/>
      </w:pPr>
      <w:r>
        <w:separator/>
      </w:r>
    </w:p>
  </w:endnote>
  <w:endnote w:type="continuationSeparator" w:id="0">
    <w:p w14:paraId="1139061B" w14:textId="77777777" w:rsidR="00B512E1" w:rsidRDefault="00B512E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9174C" w14:textId="77777777" w:rsidR="00B512E1" w:rsidRDefault="00B512E1" w:rsidP="007446EA">
      <w:pPr>
        <w:spacing w:after="0" w:line="240" w:lineRule="auto"/>
      </w:pPr>
      <w:r>
        <w:separator/>
      </w:r>
    </w:p>
  </w:footnote>
  <w:footnote w:type="continuationSeparator" w:id="0">
    <w:p w14:paraId="5F9DA9EB" w14:textId="77777777" w:rsidR="00B512E1" w:rsidRDefault="00B512E1"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44893"/>
    <w:rsid w:val="00266947"/>
    <w:rsid w:val="002C392D"/>
    <w:rsid w:val="002C6432"/>
    <w:rsid w:val="002E1BCF"/>
    <w:rsid w:val="0034199C"/>
    <w:rsid w:val="003C01DF"/>
    <w:rsid w:val="0043128C"/>
    <w:rsid w:val="00446973"/>
    <w:rsid w:val="004931F0"/>
    <w:rsid w:val="004B6E3E"/>
    <w:rsid w:val="004D3FBC"/>
    <w:rsid w:val="004E401D"/>
    <w:rsid w:val="00606E03"/>
    <w:rsid w:val="00640271"/>
    <w:rsid w:val="00680C2F"/>
    <w:rsid w:val="006B4AB0"/>
    <w:rsid w:val="007446EA"/>
    <w:rsid w:val="00744A9F"/>
    <w:rsid w:val="00770BA3"/>
    <w:rsid w:val="007B275F"/>
    <w:rsid w:val="007F72C6"/>
    <w:rsid w:val="008744ED"/>
    <w:rsid w:val="00885DDD"/>
    <w:rsid w:val="008D6F0B"/>
    <w:rsid w:val="00951972"/>
    <w:rsid w:val="009874E5"/>
    <w:rsid w:val="00994786"/>
    <w:rsid w:val="00A00C6D"/>
    <w:rsid w:val="00A55569"/>
    <w:rsid w:val="00AC07C4"/>
    <w:rsid w:val="00AC69F4"/>
    <w:rsid w:val="00B512E1"/>
    <w:rsid w:val="00BE5B2A"/>
    <w:rsid w:val="00CE192F"/>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tel:19006162" TargetMode="External"/><Relationship Id="rId7" Type="http://schemas.openxmlformats.org/officeDocument/2006/relationships/hyperlink" Target="https://luatminhkhue.vn/search?q=37/2009/QH12&amp;type=doc" TargetMode="External"/><Relationship Id="rId8" Type="http://schemas.openxmlformats.org/officeDocument/2006/relationships/hyperlink" Target="https://luatminhkhue.vn/luat-thue-su-dung-dat-phi-nong-nghiep-nam-2010.aspx" TargetMode="External"/><Relationship Id="rId9" Type="http://schemas.openxmlformats.org/officeDocument/2006/relationships/hyperlink" Target="https://luatminhkhue.vn/search?q=15/1999/QH10&amp;type=doc"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4677</Words>
  <Characters>26662</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21</cp:revision>
  <dcterms:created xsi:type="dcterms:W3CDTF">2015-09-21T17:28:00Z</dcterms:created>
  <dcterms:modified xsi:type="dcterms:W3CDTF">2020-04-10T22:01:00Z</dcterms:modified>
</cp:coreProperties>
</file>