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14" w:rsidRDefault="002A1C14" w:rsidP="002A1C14">
      <w:pPr>
        <w:pStyle w:val="Heading2"/>
        <w:jc w:val="center"/>
        <w:rPr>
          <w:rFonts w:eastAsia="Times New Roman" w:cs="Arial"/>
          <w:b w:val="0"/>
          <w:color w:val="333333"/>
          <w:sz w:val="36"/>
          <w:szCs w:val="36"/>
        </w:rPr>
      </w:pPr>
      <w:r>
        <w:rPr>
          <w:rStyle w:val="Strong"/>
          <w:rFonts w:eastAsia="Times New Roman" w:cs="Arial"/>
          <w:b/>
          <w:bCs w:val="0"/>
          <w:color w:val="000000"/>
          <w:sz w:val="21"/>
          <w:szCs w:val="21"/>
        </w:rPr>
        <w:t>DANH MỤC HỆ THỐNG TÀI KHOẢN KẾ TOÁN ÁP DỤNG CHO DOANH NGHIỆP NHỎ VÀ VỪA</w:t>
      </w:r>
      <w:r>
        <w:rPr>
          <w:rFonts w:eastAsia="Times New Roman" w:cs="Arial"/>
          <w:b w:val="0"/>
          <w:bCs/>
          <w:color w:val="000000"/>
          <w:sz w:val="21"/>
          <w:szCs w:val="21"/>
        </w:rPr>
        <w:br/>
      </w:r>
      <w:r>
        <w:rPr>
          <w:rStyle w:val="Emphasis"/>
          <w:rFonts w:eastAsia="Times New Roman" w:cs="Arial"/>
          <w:b w:val="0"/>
          <w:bCs/>
          <w:color w:val="000000"/>
          <w:sz w:val="21"/>
          <w:szCs w:val="21"/>
        </w:rPr>
        <w:t>(Ban hành kèm theo </w:t>
      </w:r>
      <w:hyperlink r:id="rId7" w:history="1">
        <w:r>
          <w:rPr>
            <w:rStyle w:val="Hyperlink"/>
            <w:rFonts w:eastAsia="Times New Roman" w:cs="Arial"/>
            <w:b w:val="0"/>
            <w:bCs/>
            <w:i w:val="0"/>
            <w:iCs/>
            <w:color w:val="0782C1"/>
            <w:sz w:val="21"/>
            <w:szCs w:val="21"/>
          </w:rPr>
          <w:t>Thông tư số 133/2016/TT-BTC</w:t>
        </w:r>
      </w:hyperlink>
      <w:r>
        <w:rPr>
          <w:rStyle w:val="Emphasis"/>
          <w:rFonts w:eastAsia="Times New Roman" w:cs="Arial"/>
          <w:b w:val="0"/>
          <w:bCs/>
          <w:color w:val="000000"/>
          <w:sz w:val="21"/>
          <w:szCs w:val="21"/>
        </w:rPr>
        <w:t> ngày 26/8/2016 của Bộ Tài chính)</w:t>
      </w:r>
    </w:p>
    <w:p w:rsidR="002A1C14" w:rsidRDefault="002A1C14" w:rsidP="002A1C14">
      <w:pPr>
        <w:pStyle w:val="NormalWeb"/>
        <w:spacing w:after="90" w:afterAutospacing="0" w:line="345" w:lineRule="atLeast"/>
        <w:jc w:val="center"/>
        <w:rPr>
          <w:rFonts w:ascii="Arial" w:eastAsia="Calibri" w:hAnsi="Arial" w:cs="Arial"/>
          <w:color w:val="333333"/>
        </w:rPr>
      </w:pPr>
    </w:p>
    <w:tbl>
      <w:tblPr>
        <w:tblW w:w="13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3"/>
        <w:gridCol w:w="1495"/>
        <w:gridCol w:w="1676"/>
        <w:gridCol w:w="9406"/>
      </w:tblGrid>
      <w:tr w:rsidR="002A1C14" w:rsidTr="002A1C14">
        <w:trPr>
          <w:tblCellSpacing w:w="0" w:type="dxa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Số TT</w:t>
            </w: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SỐ HIỆU TK</w:t>
            </w:r>
          </w:p>
        </w:tc>
        <w:tc>
          <w:tcPr>
            <w:tcW w:w="9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TÊN TÀI KHOẢN</w:t>
            </w:r>
          </w:p>
        </w:tc>
      </w:tr>
      <w:tr w:rsidR="002A1C14" w:rsidTr="002A1C1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Cấp 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Cấp 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LOẠI TÀI KHOẢN TÀI SẢN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Tiền mặt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Tiền Việt Nam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Ngoại tệ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Tiền gửi Ngân hàng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Tiền Việt Nam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Ngoại tệ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Chứng khoán kinh doanh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Đầu tư nắm giữ đến ngày đáo hạn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Tiền gửi có kỳ hạn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Các khoản đầu tư khác nắm giữ đến ngày đáo hạn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Phải thu của khách hàng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Thuế GTGT được khấu trừ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Thuế GTGT được khấu trừ của hàng hóa, dịch vụ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Thuế GTGT được khấu trừ của TSCĐ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Phải thu nội bộ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Vốn kinh doanh ở đơn vị trực thuộc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Phải thu nội bộ khác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1386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Phải thu khác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Tài sản thiếu chờ xử lý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Cầm cố, thế chấp, ký quỹ, ký cược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Phải thu khác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Tạm ứng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Hàng mua đang đi đường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Nguyên liệu, vật liệu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Công cụ, dụng cụ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Chi phí sản xuất, kinh doanh dở dang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Thành phẩm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Hàng hóa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Hàng gửi đi bán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2112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Tài sản cố định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TSCĐ hữu hình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TSCĐ thuê tài chính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TSCĐ vô hình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2142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Hao mòn tài sản cố định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Hao mòn TSCĐ hữu hình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Hao mòn TSCĐ thuê tài chính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Hao mòn TSCĐ vô hình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Hao mòn bất động sản đầu tư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Bất động sản đầu tư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2288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lastRenderedPageBreak/>
              <w:t>Đầu tư góp vốn vào đơn vị khác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Đầu tư vào công ty liên doanh, liên kết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Đầu tư khác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2292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2293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Dự phòng tổn thất tài sản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Dự phòng giảm giá chứng khoán kinh doanh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Dự phòng tổn thất đầu tư vào đơn vị khác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Dự phòng phải thu khó đòi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Dự phòng giảm giá hàng tồn kho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2412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2413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Xây dựng cơ bản dở dang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Mua sắm TSCĐ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Xây dựng cơ bản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Sửa chữa lớn TSCĐ</w:t>
            </w:r>
          </w:p>
        </w:tc>
      </w:tr>
      <w:tr w:rsidR="002A1C14" w:rsidTr="002A1C14">
        <w:trPr>
          <w:trHeight w:val="345"/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Chi phí trả trước</w:t>
            </w:r>
          </w:p>
        </w:tc>
      </w:tr>
      <w:tr w:rsidR="002A1C14" w:rsidTr="002A1C14">
        <w:trPr>
          <w:trHeight w:val="360"/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LOẠI TÀI KHOẢN NỢ PHẢI TRẢ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Phải trả cho người bán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33311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33312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3337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33381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33382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lastRenderedPageBreak/>
              <w:t>Thuế và các khoản phải nộp Nhà nước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Thuế giá trị gia tăng phải nộp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Thuế GTGT đầu ra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Thuế GTGT hàng nhập khẩu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Thuế tiêu thụ đặc biệt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Thuế xuất, nhập khẩu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Thuế thu nhập doanh nghiệp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Thuế thu nhập cá nhân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Thuế tài nguyên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Thuế nhà đất, tiền thuê đất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Thuế bảo vệ môi trường và các loại thuế khác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Thuế bảo vệ môi trường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color w:val="000000"/>
                <w:sz w:val="20"/>
                <w:szCs w:val="20"/>
              </w:rPr>
              <w:t>Các loại thuế khác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Phí, lệ phí và các khoản phải nộp khác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Phải trả người lao động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Chi phí phải trả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Phải trả nội bộ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Phải trả nội bộ về vốn kinh doanh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Phải trả nội bộ khác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3382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3383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3384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3385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3386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3387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3388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Phải trả, phải nộp khác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Tài sản thừa chờ giải quyết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Kinh phí công đoàn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Bảo hiểm xã hội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Bảo hiểm y tế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Bảo hiểm thất nghiệp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Nhận ký quỹ, ký cược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Doanh thu chưa thực hiện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Phải trả, phải nộp khác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3412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Vay và nợ thuê tài chính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Các khoản đi vay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Nợ thuê tài chính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3522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Dự phòng phải trả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Dự phòng bảo hành sản phẩm hàng hóa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Dự phòng bảo hành công trình xây dựng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Dự phòng phải trả khác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3532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3533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3534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Quỹ khen thưởng phúc lợi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Quỹ khen thưởng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Quỹ phúc lợi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Quỹ phúc lợi đã hình thành TSCĐ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Quỹ thưởng ban quản lý điều hành công ty</w:t>
            </w:r>
          </w:p>
        </w:tc>
      </w:tr>
      <w:tr w:rsidR="002A1C14" w:rsidTr="002A1C14">
        <w:trPr>
          <w:trHeight w:val="60"/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Quỹ phát triển khoa học và công nghệ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Quỹ phát triển khoa học và công nghệ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Quỹ phát triển khoa học và công nghệ đã hình thành TSCĐ</w:t>
            </w:r>
          </w:p>
        </w:tc>
      </w:tr>
      <w:tr w:rsidR="002A1C14" w:rsidTr="002A1C14">
        <w:trPr>
          <w:trHeight w:val="45"/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LOẠI TÀI KHOẢN VỐN CHỦ SỞ HỮU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4118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Vốn đầu tư của </w:t>
            </w:r>
            <w:hyperlink r:id="rId8" w:history="1">
              <w:r>
                <w:rPr>
                  <w:rStyle w:val="Hyperlink"/>
                  <w:rFonts w:ascii="Arial" w:hAnsi="Arial" w:cs="Arial"/>
                  <w:b/>
                  <w:bCs/>
                  <w:color w:val="0782C1"/>
                  <w:sz w:val="20"/>
                  <w:szCs w:val="20"/>
                </w:rPr>
                <w:t>chủ sở hữu</w:t>
              </w:r>
            </w:hyperlink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Vốn góp của chủ sở hữu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Thặng dư vốn cổ phần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Vốn khác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Chênh lệch tỷ giá hối đoái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Các quỹ thuộc vốn chủ sở hữu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Cổ phiếu quỹ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Lợi nhuận sau thuế chưa phân phối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Lợi nhuận sau thuế chưa phân phối năm trước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Lợi nhuận sau thuế chưa phân phối năm nay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LOẠI TÀI KHOẢN DOANH THU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5112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Doanh thu bán hàng và cung cấp dịch vụ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Doanh thu bán hàng hóa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Doanh thu bán thành phẩm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Doanh thu cung cấp dịch vụ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Doanh thu khác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Doanh thu hoạt động tài chính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LOẠI TÀI KHOẢN CHI PHÍ SẢN XUẤT, KINH DOANH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Mua hàng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Giá thành sản xuất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Giá vốn hàng bán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Chi phí tài chính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6421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6422</w:t>
            </w: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Chi phí quản lý kinh doanh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 phí bán hàng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 phí quản lý doanh nghiệp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LOẠI TÀI KHOẢN THU NHẬP KHÁC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Thu nhập khác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LOẠI TÀI KHOẢN CHI PHÍ KHÁC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Chi phí khác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Chi phí thuế thu nhập doanh nghiệp</w:t>
            </w:r>
          </w:p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TÀI KHOẢN XÁC ĐỊNH KẾT QUẢ KINH DOANH</w:t>
            </w:r>
          </w:p>
        </w:tc>
      </w:tr>
      <w:tr w:rsidR="002A1C14" w:rsidTr="002A1C14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1C14" w:rsidRDefault="002A1C14">
            <w:pPr>
              <w:pStyle w:val="NormalWeb"/>
              <w:spacing w:after="90" w:afterAutospacing="0" w:line="345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Xác định kết quả kinh doanh</w:t>
            </w:r>
          </w:p>
        </w:tc>
      </w:tr>
    </w:tbl>
    <w:p w:rsidR="00266947" w:rsidRPr="002A1C14" w:rsidRDefault="00266947" w:rsidP="002A1C14">
      <w:bookmarkStart w:id="0" w:name="_GoBack"/>
      <w:bookmarkEnd w:id="0"/>
    </w:p>
    <w:sectPr w:rsidR="00266947" w:rsidRPr="002A1C14" w:rsidSect="008744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D6E" w:rsidRDefault="00142D6E" w:rsidP="007446EA">
      <w:pPr>
        <w:spacing w:after="0" w:line="240" w:lineRule="auto"/>
      </w:pPr>
      <w:r>
        <w:separator/>
      </w:r>
    </w:p>
  </w:endnote>
  <w:endnote w:type="continuationSeparator" w:id="1">
    <w:p w:rsidR="00142D6E" w:rsidRDefault="00142D6E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2B" w:rsidRDefault="005B37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1F709D" w:rsidRDefault="001F709D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2B" w:rsidRDefault="005B3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D6E" w:rsidRDefault="00142D6E" w:rsidP="007446EA">
      <w:pPr>
        <w:spacing w:after="0" w:line="240" w:lineRule="auto"/>
      </w:pPr>
      <w:r>
        <w:separator/>
      </w:r>
    </w:p>
  </w:footnote>
  <w:footnote w:type="continuationSeparator" w:id="1">
    <w:p w:rsidR="00142D6E" w:rsidRDefault="00142D6E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2B" w:rsidRDefault="005B37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1F709D" w:rsidRDefault="001F709D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2B" w:rsidRDefault="005B3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6BB"/>
    <w:multiLevelType w:val="multilevel"/>
    <w:tmpl w:val="376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57F1A"/>
    <w:multiLevelType w:val="multilevel"/>
    <w:tmpl w:val="DA8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55DB3"/>
    <w:multiLevelType w:val="multilevel"/>
    <w:tmpl w:val="EB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50A46"/>
    <w:multiLevelType w:val="multilevel"/>
    <w:tmpl w:val="99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53FFB"/>
    <w:multiLevelType w:val="multilevel"/>
    <w:tmpl w:val="5E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FD800"/>
    <w:multiLevelType w:val="singleLevel"/>
    <w:tmpl w:val="550FD800"/>
    <w:lvl w:ilvl="0">
      <w:start w:val="1"/>
      <w:numFmt w:val="decimal"/>
      <w:suff w:val="space"/>
      <w:lvlText w:val="%1."/>
      <w:lvlJc w:val="left"/>
    </w:lvl>
  </w:abstractNum>
  <w:abstractNum w:abstractNumId="6">
    <w:nsid w:val="550FD80E"/>
    <w:multiLevelType w:val="singleLevel"/>
    <w:tmpl w:val="550FD80E"/>
    <w:lvl w:ilvl="0">
      <w:start w:val="2"/>
      <w:numFmt w:val="decimal"/>
      <w:suff w:val="space"/>
      <w:lvlText w:val="%1."/>
      <w:lvlJc w:val="left"/>
    </w:lvl>
  </w:abstractNum>
  <w:abstractNum w:abstractNumId="7">
    <w:nsid w:val="550FD885"/>
    <w:multiLevelType w:val="singleLevel"/>
    <w:tmpl w:val="550FD885"/>
    <w:lvl w:ilvl="0">
      <w:start w:val="1"/>
      <w:numFmt w:val="decimal"/>
      <w:suff w:val="space"/>
      <w:lvlText w:val="%1."/>
      <w:lvlJc w:val="left"/>
    </w:lvl>
  </w:abstractNum>
  <w:abstractNum w:abstractNumId="8">
    <w:nsid w:val="550FD89C"/>
    <w:multiLevelType w:val="singleLevel"/>
    <w:tmpl w:val="550FD89C"/>
    <w:lvl w:ilvl="0">
      <w:start w:val="1"/>
      <w:numFmt w:val="decimal"/>
      <w:suff w:val="space"/>
      <w:lvlText w:val="%1."/>
      <w:lvlJc w:val="left"/>
    </w:lvl>
  </w:abstractNum>
  <w:abstractNum w:abstractNumId="9">
    <w:nsid w:val="550FD8B7"/>
    <w:multiLevelType w:val="singleLevel"/>
    <w:tmpl w:val="550FD8B7"/>
    <w:lvl w:ilvl="0">
      <w:start w:val="1"/>
      <w:numFmt w:val="decimal"/>
      <w:suff w:val="space"/>
      <w:lvlText w:val="%1."/>
      <w:lvlJc w:val="left"/>
    </w:lvl>
  </w:abstractNum>
  <w:abstractNum w:abstractNumId="10">
    <w:nsid w:val="550FD936"/>
    <w:multiLevelType w:val="singleLevel"/>
    <w:tmpl w:val="550FD93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11">
    <w:nsid w:val="550FDB8C"/>
    <w:multiLevelType w:val="singleLevel"/>
    <w:tmpl w:val="550FDB8C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12">
    <w:nsid w:val="550FDC41"/>
    <w:multiLevelType w:val="singleLevel"/>
    <w:tmpl w:val="550FDC41"/>
    <w:lvl w:ilvl="0">
      <w:start w:val="1"/>
      <w:numFmt w:val="decimal"/>
      <w:suff w:val="space"/>
      <w:lvlText w:val="%1."/>
      <w:lvlJc w:val="left"/>
    </w:lvl>
  </w:abstractNum>
  <w:abstractNum w:abstractNumId="13">
    <w:nsid w:val="5A0C4779"/>
    <w:multiLevelType w:val="multilevel"/>
    <w:tmpl w:val="5A8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420A04"/>
    <w:multiLevelType w:val="multilevel"/>
    <w:tmpl w:val="B81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7E0673"/>
    <w:multiLevelType w:val="multilevel"/>
    <w:tmpl w:val="2C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321151"/>
    <w:multiLevelType w:val="multilevel"/>
    <w:tmpl w:val="27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4"/>
  </w:num>
  <w:num w:numId="11">
    <w:abstractNumId w:val="2"/>
  </w:num>
  <w:num w:numId="12">
    <w:abstractNumId w:val="15"/>
  </w:num>
  <w:num w:numId="13">
    <w:abstractNumId w:val="16"/>
  </w:num>
  <w:num w:numId="14">
    <w:abstractNumId w:val="14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446EA"/>
    <w:rsid w:val="000170AA"/>
    <w:rsid w:val="000211AB"/>
    <w:rsid w:val="00110D8A"/>
    <w:rsid w:val="00114A09"/>
    <w:rsid w:val="00117BAA"/>
    <w:rsid w:val="00142D6E"/>
    <w:rsid w:val="001C1A29"/>
    <w:rsid w:val="001F709D"/>
    <w:rsid w:val="00266947"/>
    <w:rsid w:val="00276A35"/>
    <w:rsid w:val="002A1C14"/>
    <w:rsid w:val="002C392D"/>
    <w:rsid w:val="002C3A77"/>
    <w:rsid w:val="002C6432"/>
    <w:rsid w:val="003C01DF"/>
    <w:rsid w:val="00425AAF"/>
    <w:rsid w:val="004C1D9C"/>
    <w:rsid w:val="004D6025"/>
    <w:rsid w:val="005B372B"/>
    <w:rsid w:val="00640271"/>
    <w:rsid w:val="007446EA"/>
    <w:rsid w:val="007536AF"/>
    <w:rsid w:val="00770BA3"/>
    <w:rsid w:val="0079414E"/>
    <w:rsid w:val="007B275F"/>
    <w:rsid w:val="008744ED"/>
    <w:rsid w:val="008D6F0B"/>
    <w:rsid w:val="00904222"/>
    <w:rsid w:val="00954A4A"/>
    <w:rsid w:val="009874E5"/>
    <w:rsid w:val="00A418C7"/>
    <w:rsid w:val="00AC07C4"/>
    <w:rsid w:val="00B73F2C"/>
    <w:rsid w:val="00D32308"/>
    <w:rsid w:val="00DF66F6"/>
    <w:rsid w:val="00E81D35"/>
    <w:rsid w:val="00E87320"/>
    <w:rsid w:val="00EC2D51"/>
    <w:rsid w:val="00F833BC"/>
    <w:rsid w:val="00F9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atminhkhue.vn/tu-van-luat-so-huu-tri-tue/ai-duoc-coi-la-chu-so-huu-tac-pham-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anban.luatminhkhue.vn/xem-vb/252708/thong-tu-133-2016-tt-btc-huong-dan-che-do-ke-toan-doanh-nghiep-nho-va-vua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8</cp:revision>
  <dcterms:created xsi:type="dcterms:W3CDTF">2015-09-25T00:33:00Z</dcterms:created>
  <dcterms:modified xsi:type="dcterms:W3CDTF">2019-01-25T06:53:00Z</dcterms:modified>
</cp:coreProperties>
</file>